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jc w:val="center"/>
        <w:ind w:right="1120"/>
        <w:spacing w:after="0" w:line="207"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1" w:lineRule="exact"/>
        <w:rPr>
          <w:sz w:val="24"/>
          <w:szCs w:val="24"/>
          <w:color w:val="auto"/>
        </w:rPr>
      </w:pPr>
    </w:p>
    <w:p>
      <w:pPr>
        <w:ind w:left="3840"/>
        <w:spacing w:after="0"/>
        <w:rPr>
          <w:sz w:val="20"/>
          <w:szCs w:val="20"/>
          <w:color w:val="auto"/>
        </w:rPr>
      </w:pPr>
      <w:r>
        <w:rPr>
          <w:rFonts w:ascii="Arial" w:cs="Arial" w:eastAsia="Arial" w:hAnsi="Arial"/>
          <w:sz w:val="25"/>
          <w:szCs w:val="25"/>
          <w:b w:val="1"/>
          <w:bCs w:val="1"/>
          <w:color w:val="auto"/>
        </w:rPr>
        <w:t>FORM 11-K</w:t>
      </w:r>
    </w:p>
    <w:p>
      <w:pPr>
        <w:spacing w:after="0" w:line="200" w:lineRule="exact"/>
        <w:rPr>
          <w:sz w:val="24"/>
          <w:szCs w:val="24"/>
          <w:color w:val="auto"/>
        </w:rPr>
      </w:pPr>
    </w:p>
    <w:p>
      <w:pPr>
        <w:spacing w:after="0" w:line="274" w:lineRule="exact"/>
        <w:rPr>
          <w:sz w:val="24"/>
          <w:szCs w:val="24"/>
          <w:color w:val="auto"/>
        </w:rPr>
      </w:pPr>
    </w:p>
    <w:p>
      <w:pPr>
        <w:ind w:left="540" w:hanging="31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15(d) OF THE SECURITIES EXCHANGE ACT OF 1934</w:t>
      </w: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fiscal year ended December 31, 2025</w:t>
      </w:r>
    </w:p>
    <w:p>
      <w:pPr>
        <w:spacing w:after="0" w:line="252"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120" w:right="1160" w:hanging="3071"/>
        <w:spacing w:after="0" w:line="790" w:lineRule="auto"/>
        <w:tabs>
          <w:tab w:leader="none" w:pos="3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15(d) OF THE SECURITIES EXCHANGE ACT OF 1934 Commission File Number: 1-14225</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HNI Corporation 401(k) Plan</w:t>
      </w:r>
    </w:p>
    <w:p>
      <w:pPr>
        <w:spacing w:after="0" w:line="24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HNI Corporation</w:t>
      </w:r>
    </w:p>
    <w:p>
      <w:pPr>
        <w:jc w:val="center"/>
        <w:ind w:right="1120"/>
        <w:spacing w:after="0" w:line="219" w:lineRule="auto"/>
        <w:rPr>
          <w:sz w:val="20"/>
          <w:szCs w:val="20"/>
          <w:color w:val="auto"/>
        </w:rPr>
      </w:pPr>
      <w:r>
        <w:rPr>
          <w:rFonts w:ascii="Arial" w:cs="Arial" w:eastAsia="Arial" w:hAnsi="Arial"/>
          <w:sz w:val="18"/>
          <w:szCs w:val="18"/>
          <w:color w:val="auto"/>
        </w:rPr>
        <w:t>600 East Second Street</w:t>
      </w:r>
    </w:p>
    <w:p>
      <w:pPr>
        <w:jc w:val="center"/>
        <w:ind w:right="1120"/>
        <w:spacing w:after="0" w:line="203" w:lineRule="auto"/>
        <w:rPr>
          <w:sz w:val="20"/>
          <w:szCs w:val="20"/>
          <w:color w:val="auto"/>
        </w:rPr>
      </w:pPr>
      <w:r>
        <w:rPr>
          <w:rFonts w:ascii="Arial" w:cs="Arial" w:eastAsia="Arial" w:hAnsi="Arial"/>
          <w:sz w:val="18"/>
          <w:szCs w:val="18"/>
          <w:color w:val="auto"/>
        </w:rPr>
        <w:t>P. O. Box 1109</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Muscatine, Iowa 52761-0071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210820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33"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980"/>
        <w:spacing w:after="0"/>
        <w:rPr>
          <w:sz w:val="20"/>
          <w:szCs w:val="20"/>
          <w:color w:val="auto"/>
        </w:rPr>
      </w:pPr>
      <w:r>
        <w:rPr>
          <w:rFonts w:ascii="Arial" w:cs="Arial" w:eastAsia="Arial" w:hAnsi="Arial"/>
          <w:sz w:val="32"/>
          <w:szCs w:val="32"/>
          <w:b w:val="1"/>
          <w:bCs w:val="1"/>
          <w:color w:val="auto"/>
        </w:rPr>
        <w:t>HNI CORPORATION 401(k) PLAN</w:t>
      </w:r>
    </w:p>
    <w:p>
      <w:pPr>
        <w:spacing w:after="0" w:line="200" w:lineRule="exact"/>
        <w:rPr>
          <w:sz w:val="20"/>
          <w:szCs w:val="20"/>
          <w:color w:val="auto"/>
        </w:rPr>
      </w:pPr>
    </w:p>
    <w:p>
      <w:pPr>
        <w:spacing w:after="0" w:line="30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FINANCIAL STATEMENTS</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 SUPPLEMENTAL INFORMATION</w:t>
      </w:r>
    </w:p>
    <w:p>
      <w:pPr>
        <w:spacing w:after="0" w:line="213"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Including Report of Independent Registered Public Accounting Firm</w:t>
      </w:r>
    </w:p>
    <w:p>
      <w:pPr>
        <w:spacing w:after="0" w:line="220"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As of December 31, 2025 and 2024</w:t>
      </w:r>
    </w:p>
    <w:p>
      <w:pPr>
        <w:spacing w:after="0" w:line="2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210820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HNI CORPORATION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86"/>
        </w:trPr>
        <w:tc>
          <w:tcPr>
            <w:tcW w:w="8860" w:type="dxa"/>
            <w:vAlign w:val="bottom"/>
          </w:tcPr>
          <w:p>
            <w:pPr>
              <w:spacing w:after="0"/>
              <w:rPr>
                <w:sz w:val="20"/>
                <w:szCs w:val="20"/>
                <w:color w:val="auto"/>
              </w:rPr>
            </w:pPr>
            <w:r>
              <w:rPr>
                <w:rFonts w:ascii="Arial" w:cs="Arial" w:eastAsia="Arial" w:hAnsi="Arial"/>
                <w:sz w:val="18"/>
                <w:szCs w:val="18"/>
                <w:color w:val="auto"/>
              </w:rPr>
              <w:t>Financial Statements</w:t>
            </w:r>
          </w:p>
        </w:tc>
        <w:tc>
          <w:tcPr>
            <w:tcW w:w="2340" w:type="dxa"/>
            <w:vAlign w:val="bottom"/>
          </w:tcPr>
          <w:p>
            <w:pPr>
              <w:spacing w:after="0"/>
              <w:rPr>
                <w:sz w:val="24"/>
                <w:szCs w:val="24"/>
                <w:color w:val="auto"/>
              </w:rPr>
            </w:pPr>
          </w:p>
        </w:tc>
      </w:tr>
      <w:tr>
        <w:trPr>
          <w:trHeight w:val="486"/>
        </w:trPr>
        <w:tc>
          <w:tcPr>
            <w:tcW w:w="8860" w:type="dxa"/>
            <w:vAlign w:val="bottom"/>
          </w:tcPr>
          <w:p>
            <w:pPr>
              <w:ind w:left="240"/>
              <w:spacing w:after="0"/>
              <w:rPr>
                <w:sz w:val="20"/>
                <w:szCs w:val="20"/>
                <w:color w:val="auto"/>
              </w:rPr>
            </w:pPr>
            <w:r>
              <w:rPr>
                <w:rFonts w:ascii="Arial" w:cs="Arial" w:eastAsia="Arial" w:hAnsi="Arial"/>
                <w:sz w:val="18"/>
                <w:szCs w:val="18"/>
                <w:color w:val="auto"/>
              </w:rPr>
              <w:t>Statements of Net Assets Available for Benefits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86"/>
        </w:trPr>
        <w:tc>
          <w:tcPr>
            <w:tcW w:w="8860" w:type="dxa"/>
            <w:vAlign w:val="bottom"/>
          </w:tcPr>
          <w:p>
            <w:pPr>
              <w:ind w:left="240"/>
              <w:spacing w:after="0"/>
              <w:rPr>
                <w:sz w:val="20"/>
                <w:szCs w:val="20"/>
                <w:color w:val="auto"/>
              </w:rPr>
            </w:pPr>
            <w:r>
              <w:rPr>
                <w:rFonts w:ascii="Arial" w:cs="Arial" w:eastAsia="Arial" w:hAnsi="Arial"/>
                <w:sz w:val="18"/>
                <w:szCs w:val="18"/>
                <w:color w:val="auto"/>
              </w:rPr>
              <w:t>Statement of Changes in Net Assets Available for Benefits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86"/>
        </w:trPr>
        <w:tc>
          <w:tcPr>
            <w:tcW w:w="8860" w:type="dxa"/>
            <w:vAlign w:val="bottom"/>
          </w:tcPr>
          <w:p>
            <w:pPr>
              <w:ind w:left="240"/>
              <w:spacing w:after="0"/>
              <w:rPr>
                <w:sz w:val="20"/>
                <w:szCs w:val="20"/>
                <w:color w:val="auto"/>
              </w:rPr>
            </w:pPr>
            <w:r>
              <w:rPr>
                <w:rFonts w:ascii="Arial" w:cs="Arial" w:eastAsia="Arial" w:hAnsi="Arial"/>
                <w:sz w:val="18"/>
                <w:szCs w:val="18"/>
                <w:color w:val="auto"/>
              </w:rPr>
              <w:t>Notes to Financial Statements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486"/>
        </w:trPr>
        <w:tc>
          <w:tcPr>
            <w:tcW w:w="886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2340" w:type="dxa"/>
            <w:vAlign w:val="bottom"/>
          </w:tcPr>
          <w:p>
            <w:pPr>
              <w:spacing w:after="0"/>
              <w:rPr>
                <w:sz w:val="24"/>
                <w:szCs w:val="24"/>
                <w:color w:val="auto"/>
              </w:rPr>
            </w:pPr>
          </w:p>
        </w:tc>
      </w:tr>
      <w:tr>
        <w:trPr>
          <w:trHeight w:val="486"/>
        </w:trPr>
        <w:tc>
          <w:tcPr>
            <w:tcW w:w="8860" w:type="dxa"/>
            <w:vAlign w:val="bottom"/>
          </w:tcPr>
          <w:p>
            <w:pPr>
              <w:ind w:left="240"/>
              <w:spacing w:after="0"/>
              <w:rPr>
                <w:sz w:val="20"/>
                <w:szCs w:val="20"/>
                <w:color w:val="auto"/>
              </w:rPr>
            </w:pPr>
            <w:r>
              <w:rPr>
                <w:rFonts w:ascii="Arial" w:cs="Arial" w:eastAsia="Arial" w:hAnsi="Arial"/>
                <w:sz w:val="18"/>
                <w:szCs w:val="18"/>
                <w:color w:val="auto"/>
              </w:rPr>
              <w:t>Form 5500, Schedule H, Line 4i - Schedule of Assets (Held at End of Year)</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526"/>
        </w:trPr>
        <w:tc>
          <w:tcPr>
            <w:tcW w:w="8860" w:type="dxa"/>
            <w:vAlign w:val="bottom"/>
          </w:tcPr>
          <w:p>
            <w:pPr>
              <w:ind w:left="240"/>
              <w:spacing w:after="0"/>
              <w:rPr>
                <w:sz w:val="20"/>
                <w:szCs w:val="20"/>
                <w:color w:val="auto"/>
              </w:rPr>
            </w:pPr>
            <w:r>
              <w:rPr>
                <w:rFonts w:ascii="Arial" w:cs="Arial" w:eastAsia="Arial" w:hAnsi="Arial"/>
                <w:sz w:val="18"/>
                <w:szCs w:val="18"/>
                <w:color w:val="auto"/>
              </w:rPr>
              <w:t>Form 5500, Schedule H, Line 4a - Schedule of Delinquent Participant Contributions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26"/>
        </w:trPr>
        <w:tc>
          <w:tcPr>
            <w:tcW w:w="8860" w:type="dxa"/>
            <w:vAlign w:val="bottom"/>
          </w:tcPr>
          <w:p>
            <w:pPr>
              <w:spacing w:after="0"/>
              <w:rPr>
                <w:sz w:val="20"/>
                <w:szCs w:val="20"/>
                <w:color w:val="auto"/>
              </w:rPr>
            </w:pPr>
            <w:r>
              <w:rPr>
                <w:rFonts w:ascii="Arial" w:cs="Arial" w:eastAsia="Arial" w:hAnsi="Arial"/>
                <w:sz w:val="18"/>
                <w:szCs w:val="18"/>
                <w:color w:val="auto"/>
              </w:rPr>
              <w:t>Exhibits</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27"/>
        </w:trPr>
        <w:tc>
          <w:tcPr>
            <w:tcW w:w="8860" w:type="dxa"/>
            <w:vAlign w:val="bottom"/>
          </w:tcPr>
          <w:p>
            <w:pPr>
              <w:spacing w:after="0"/>
              <w:rPr>
                <w:sz w:val="20"/>
                <w:szCs w:val="20"/>
                <w:color w:val="auto"/>
              </w:rPr>
            </w:pPr>
            <w:r>
              <w:rPr>
                <w:rFonts w:ascii="Arial" w:cs="Arial" w:eastAsia="Arial" w:hAnsi="Arial"/>
                <w:sz w:val="18"/>
                <w:szCs w:val="18"/>
                <w:color w:val="auto"/>
              </w:rPr>
              <w:t>Signature</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210820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3" w:name="page4"/>
    <w:bookmarkEnd w:id="3"/>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the Administrative and Fund Committee and Plan Participants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HNI Corporation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Muscatine, Iowa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accompanying statements of net assets available for benefits of the HNI Corporation 401(k) Plan (the “Plan”) as of December 31, 2025 and 2024,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HNI Corporation 401(k) Plan as of December 31, 2025 and 2024, and the changes in net assets available for benefits for the year ended December 31, 2025,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Information</w:t>
      </w:r>
    </w:p>
    <w:p>
      <w:pPr>
        <w:spacing w:after="0" w:line="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supplemental information contained in Form 5500, Schedule H, Line 4i - Schedule of Assets (Held at End of Year) and Form 5500, Schedule H, Line 4a – Schedule of Delinquent Participant Contributions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FGMK,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Bannockburn,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17,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660"/>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 w:name="page5"/>
    <w:bookmarkEnd w:id="4"/>
    <w:p>
      <w:pPr>
        <w:jc w:val="center"/>
        <w:ind w:right="360"/>
        <w:spacing w:after="0"/>
        <w:rPr>
          <w:sz w:val="20"/>
          <w:szCs w:val="20"/>
          <w:color w:val="auto"/>
        </w:rPr>
      </w:pPr>
      <w:r>
        <w:rPr>
          <w:rFonts w:ascii="Arial" w:cs="Arial" w:eastAsia="Arial" w:hAnsi="Arial"/>
          <w:sz w:val="22"/>
          <w:szCs w:val="22"/>
          <w:b w:val="1"/>
          <w:bCs w:val="1"/>
          <w:color w:val="auto"/>
        </w:rPr>
        <w:t>HNI CORPORATION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STATEMENTS OF NET ASSETS AVAILABLE FOR BENEFITS</w:t>
      </w:r>
    </w:p>
    <w:p>
      <w:pPr>
        <w:spacing w:after="0" w:line="6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69215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4220" w:type="dxa"/>
            <w:vAlign w:val="bottom"/>
            <w:gridSpan w:val="3"/>
          </w:tcPr>
          <w:p>
            <w:pPr>
              <w:ind w:left="400"/>
              <w:spacing w:after="0"/>
              <w:rPr>
                <w:sz w:val="20"/>
                <w:szCs w:val="20"/>
                <w:color w:val="auto"/>
              </w:rPr>
            </w:pPr>
            <w:r>
              <w:rPr>
                <w:rFonts w:ascii="Arial" w:cs="Arial" w:eastAsia="Arial" w:hAnsi="Arial"/>
                <w:sz w:val="18"/>
                <w:szCs w:val="18"/>
                <w:b w:val="1"/>
                <w:bCs w:val="1"/>
                <w:i w:val="1"/>
                <w:iCs w:val="1"/>
                <w:color w:val="auto"/>
              </w:rPr>
              <w:t>ASSETS</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4500" w:type="dxa"/>
            <w:vAlign w:val="bottom"/>
          </w:tcPr>
          <w:p>
            <w:pPr>
              <w:spacing w:after="0"/>
              <w:rPr>
                <w:sz w:val="24"/>
                <w:szCs w:val="24"/>
                <w:color w:val="auto"/>
              </w:rPr>
            </w:pPr>
          </w:p>
        </w:tc>
        <w:tc>
          <w:tcPr>
            <w:tcW w:w="4120" w:type="dxa"/>
            <w:vAlign w:val="bottom"/>
            <w:gridSpan w:val="2"/>
          </w:tcPr>
          <w:p>
            <w:pPr>
              <w:jc w:val="right"/>
              <w:ind w:right="59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4"/>
                <w:szCs w:val="24"/>
                <w:color w:val="auto"/>
              </w:rPr>
            </w:pPr>
          </w:p>
        </w:tc>
        <w:tc>
          <w:tcPr>
            <w:tcW w:w="1760" w:type="dxa"/>
            <w:vAlign w:val="bottom"/>
          </w:tcPr>
          <w:p>
            <w:pPr>
              <w:jc w:val="right"/>
              <w:ind w:right="5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
        </w:trPr>
        <w:tc>
          <w:tcPr>
            <w:tcW w:w="4500" w:type="dxa"/>
            <w:vAlign w:val="bottom"/>
            <w:vMerge w:val="restart"/>
          </w:tcPr>
          <w:p>
            <w:pPr>
              <w:spacing w:after="0"/>
              <w:rPr>
                <w:sz w:val="20"/>
                <w:szCs w:val="20"/>
                <w:color w:val="auto"/>
              </w:rPr>
            </w:pPr>
            <w:r>
              <w:rPr>
                <w:rFonts w:ascii="Arial" w:cs="Arial" w:eastAsia="Arial" w:hAnsi="Arial"/>
                <w:sz w:val="18"/>
                <w:szCs w:val="18"/>
                <w:color w:val="auto"/>
              </w:rPr>
              <w:t>INVESTMENTS AT FAIR VALUE</w:t>
            </w:r>
          </w:p>
        </w:tc>
        <w:tc>
          <w:tcPr>
            <w:tcW w:w="2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80"/>
              <w:spacing w:after="0"/>
              <w:rPr>
                <w:sz w:val="20"/>
                <w:szCs w:val="20"/>
                <w:color w:val="auto"/>
              </w:rPr>
            </w:pPr>
            <w:r>
              <w:rPr>
                <w:rFonts w:ascii="Arial" w:cs="Arial" w:eastAsia="Arial" w:hAnsi="Arial"/>
                <w:sz w:val="18"/>
                <w:szCs w:val="18"/>
                <w:color w:val="auto"/>
              </w:rPr>
              <w:t>Participant-directed investments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$1,478,397,531</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$987,520,093</w:t>
            </w:r>
          </w:p>
        </w:tc>
        <w:tc>
          <w:tcPr>
            <w:tcW w:w="0" w:type="dxa"/>
            <w:vAlign w:val="bottom"/>
          </w:tcPr>
          <w:p>
            <w:pPr>
              <w:spacing w:after="0"/>
              <w:rPr>
                <w:sz w:val="1"/>
                <w:szCs w:val="1"/>
                <w:color w:val="auto"/>
              </w:rPr>
            </w:pPr>
          </w:p>
        </w:tc>
      </w:tr>
      <w:tr>
        <w:trPr>
          <w:trHeight w:val="270"/>
        </w:trPr>
        <w:tc>
          <w:tcPr>
            <w:tcW w:w="4500" w:type="dxa"/>
            <w:vAlign w:val="bottom"/>
          </w:tcPr>
          <w:p>
            <w:pPr>
              <w:ind w:left="80"/>
              <w:spacing w:after="0"/>
              <w:rPr>
                <w:sz w:val="20"/>
                <w:szCs w:val="20"/>
                <w:color w:val="auto"/>
              </w:rPr>
            </w:pPr>
            <w:r>
              <w:rPr>
                <w:rFonts w:ascii="Arial" w:cs="Arial" w:eastAsia="Arial" w:hAnsi="Arial"/>
                <w:sz w:val="18"/>
                <w:szCs w:val="18"/>
                <w:color w:val="auto"/>
              </w:rPr>
              <w:t>HNI Corporation stock</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84,683,125</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105,625,358</w:t>
            </w:r>
          </w:p>
        </w:tc>
        <w:tc>
          <w:tcPr>
            <w:tcW w:w="0" w:type="dxa"/>
            <w:vAlign w:val="bottom"/>
          </w:tcPr>
          <w:p>
            <w:pPr>
              <w:spacing w:after="0"/>
              <w:rPr>
                <w:sz w:val="1"/>
                <w:szCs w:val="1"/>
                <w:color w:val="auto"/>
              </w:rPr>
            </w:pPr>
          </w:p>
        </w:tc>
      </w:tr>
      <w:tr>
        <w:trPr>
          <w:trHeight w:val="23"/>
        </w:trPr>
        <w:tc>
          <w:tcPr>
            <w:tcW w:w="4500" w:type="dxa"/>
            <w:vAlign w:val="bottom"/>
            <w:vMerge w:val="restart"/>
          </w:tcPr>
          <w:p>
            <w:pPr>
              <w:ind w:left="560"/>
              <w:spacing w:after="0"/>
              <w:rPr>
                <w:sz w:val="20"/>
                <w:szCs w:val="20"/>
                <w:color w:val="auto"/>
              </w:rPr>
            </w:pPr>
            <w:r>
              <w:rPr>
                <w:rFonts w:ascii="Arial" w:cs="Arial" w:eastAsia="Arial" w:hAnsi="Arial"/>
                <w:sz w:val="18"/>
                <w:szCs w:val="18"/>
                <w:color w:val="auto"/>
              </w:rPr>
              <w:t>Total investments, at fair value</w:t>
            </w:r>
          </w:p>
        </w:tc>
        <w:tc>
          <w:tcPr>
            <w:tcW w:w="2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500" w:type="dxa"/>
            <w:vAlign w:val="bottom"/>
            <w:vMerge w:val="continue"/>
          </w:tcPr>
          <w:p>
            <w:pPr>
              <w:spacing w:after="0"/>
              <w:rPr>
                <w:sz w:val="20"/>
                <w:szCs w:val="20"/>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1,563,080,656</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1,093,145,451</w:t>
            </w:r>
          </w:p>
        </w:tc>
        <w:tc>
          <w:tcPr>
            <w:tcW w:w="0" w:type="dxa"/>
            <w:vAlign w:val="bottom"/>
          </w:tcPr>
          <w:p>
            <w:pPr>
              <w:spacing w:after="0"/>
              <w:rPr>
                <w:sz w:val="1"/>
                <w:szCs w:val="1"/>
                <w:color w:val="auto"/>
              </w:rPr>
            </w:pPr>
          </w:p>
        </w:tc>
      </w:tr>
      <w:tr>
        <w:trPr>
          <w:trHeight w:val="23"/>
        </w:trPr>
        <w:tc>
          <w:tcPr>
            <w:tcW w:w="4500" w:type="dxa"/>
            <w:vAlign w:val="bottom"/>
            <w:vMerge w:val="restart"/>
          </w:tcPr>
          <w:p>
            <w:pPr>
              <w:spacing w:after="0"/>
              <w:rPr>
                <w:sz w:val="20"/>
                <w:szCs w:val="20"/>
                <w:color w:val="auto"/>
              </w:rPr>
            </w:pPr>
            <w:r>
              <w:rPr>
                <w:rFonts w:ascii="Arial" w:cs="Arial" w:eastAsia="Arial" w:hAnsi="Arial"/>
                <w:sz w:val="18"/>
                <w:szCs w:val="18"/>
                <w:color w:val="auto"/>
              </w:rPr>
              <w:t>RECEIVABLES</w:t>
            </w:r>
          </w:p>
        </w:tc>
        <w:tc>
          <w:tcPr>
            <w:tcW w:w="2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450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280"/>
              <w:spacing w:after="0"/>
              <w:rPr>
                <w:sz w:val="20"/>
                <w:szCs w:val="20"/>
                <w:color w:val="auto"/>
              </w:rPr>
            </w:pPr>
            <w:r>
              <w:rPr>
                <w:rFonts w:ascii="Arial" w:cs="Arial" w:eastAsia="Arial" w:hAnsi="Arial"/>
                <w:sz w:val="18"/>
                <w:szCs w:val="18"/>
                <w:color w:val="auto"/>
              </w:rPr>
              <w:t>Employer contributions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4,994,445</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5,590,533</w:t>
            </w:r>
          </w:p>
        </w:tc>
        <w:tc>
          <w:tcPr>
            <w:tcW w:w="0" w:type="dxa"/>
            <w:vAlign w:val="bottom"/>
          </w:tcPr>
          <w:p>
            <w:pPr>
              <w:spacing w:after="0"/>
              <w:rPr>
                <w:sz w:val="1"/>
                <w:szCs w:val="1"/>
                <w:color w:val="auto"/>
              </w:rPr>
            </w:pPr>
          </w:p>
        </w:tc>
      </w:tr>
      <w:tr>
        <w:trPr>
          <w:trHeight w:val="270"/>
        </w:trPr>
        <w:tc>
          <w:tcPr>
            <w:tcW w:w="4500" w:type="dxa"/>
            <w:vAlign w:val="bottom"/>
          </w:tcPr>
          <w:p>
            <w:pPr>
              <w:ind w:left="280"/>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23"/>
                <w:szCs w:val="23"/>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70"/>
        </w:trPr>
        <w:tc>
          <w:tcPr>
            <w:tcW w:w="4500" w:type="dxa"/>
            <w:vAlign w:val="bottom"/>
          </w:tcPr>
          <w:p>
            <w:pPr>
              <w:ind w:left="280"/>
              <w:spacing w:after="0"/>
              <w:rPr>
                <w:sz w:val="20"/>
                <w:szCs w:val="20"/>
                <w:color w:val="auto"/>
              </w:rPr>
            </w:pPr>
            <w:r>
              <w:rPr>
                <w:rFonts w:ascii="Arial" w:cs="Arial" w:eastAsia="Arial" w:hAnsi="Arial"/>
                <w:sz w:val="18"/>
                <w:szCs w:val="18"/>
                <w:color w:val="auto"/>
              </w:rPr>
              <w:t>Notes receivable from participants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18,804,628</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18,443,399</w:t>
            </w:r>
          </w:p>
        </w:tc>
        <w:tc>
          <w:tcPr>
            <w:tcW w:w="0" w:type="dxa"/>
            <w:vAlign w:val="bottom"/>
          </w:tcPr>
          <w:p>
            <w:pPr>
              <w:spacing w:after="0"/>
              <w:rPr>
                <w:sz w:val="1"/>
                <w:szCs w:val="1"/>
                <w:color w:val="auto"/>
              </w:rPr>
            </w:pPr>
          </w:p>
        </w:tc>
      </w:tr>
      <w:tr>
        <w:trPr>
          <w:trHeight w:val="270"/>
        </w:trPr>
        <w:tc>
          <w:tcPr>
            <w:tcW w:w="4500" w:type="dxa"/>
            <w:vAlign w:val="bottom"/>
          </w:tcPr>
          <w:p>
            <w:pPr>
              <w:ind w:left="280"/>
              <w:spacing w:after="0"/>
              <w:rPr>
                <w:sz w:val="20"/>
                <w:szCs w:val="20"/>
                <w:color w:val="auto"/>
              </w:rPr>
            </w:pPr>
            <w:r>
              <w:rPr>
                <w:rFonts w:ascii="Arial" w:cs="Arial" w:eastAsia="Arial" w:hAnsi="Arial"/>
                <w:sz w:val="18"/>
                <w:szCs w:val="18"/>
                <w:color w:val="auto"/>
              </w:rPr>
              <w:t>Plan merger receivable</w:t>
            </w:r>
          </w:p>
        </w:tc>
        <w:tc>
          <w:tcPr>
            <w:tcW w:w="2360" w:type="dxa"/>
            <w:vAlign w:val="bottom"/>
          </w:tcPr>
          <w:p>
            <w:pPr>
              <w:spacing w:after="0"/>
              <w:rPr>
                <w:sz w:val="23"/>
                <w:szCs w:val="23"/>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349,860,565</w:t>
            </w:r>
          </w:p>
        </w:tc>
        <w:tc>
          <w:tcPr>
            <w:tcW w:w="0" w:type="dxa"/>
            <w:vAlign w:val="bottom"/>
          </w:tcPr>
          <w:p>
            <w:pPr>
              <w:spacing w:after="0"/>
              <w:rPr>
                <w:sz w:val="1"/>
                <w:szCs w:val="1"/>
                <w:color w:val="auto"/>
              </w:rPr>
            </w:pPr>
          </w:p>
        </w:tc>
      </w:tr>
      <w:tr>
        <w:trPr>
          <w:trHeight w:val="23"/>
        </w:trPr>
        <w:tc>
          <w:tcPr>
            <w:tcW w:w="4500" w:type="dxa"/>
            <w:vAlign w:val="bottom"/>
            <w:vMerge w:val="restart"/>
          </w:tcPr>
          <w:p>
            <w:pPr>
              <w:ind w:left="560"/>
              <w:spacing w:after="0"/>
              <w:rPr>
                <w:sz w:val="20"/>
                <w:szCs w:val="20"/>
                <w:color w:val="auto"/>
              </w:rPr>
            </w:pPr>
            <w:r>
              <w:rPr>
                <w:rFonts w:ascii="Arial" w:cs="Arial" w:eastAsia="Arial" w:hAnsi="Arial"/>
                <w:sz w:val="18"/>
                <w:szCs w:val="18"/>
                <w:color w:val="auto"/>
              </w:rPr>
              <w:t>Total receivables</w:t>
            </w:r>
          </w:p>
        </w:tc>
        <w:tc>
          <w:tcPr>
            <w:tcW w:w="2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500" w:type="dxa"/>
            <w:vAlign w:val="bottom"/>
            <w:vMerge w:val="continue"/>
          </w:tcPr>
          <w:p>
            <w:pPr>
              <w:spacing w:after="0"/>
              <w:rPr>
                <w:sz w:val="20"/>
                <w:szCs w:val="20"/>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23,799,073</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373,899,753</w:t>
            </w: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500" w:type="dxa"/>
            <w:vAlign w:val="bottom"/>
          </w:tcPr>
          <w:p>
            <w:pPr>
              <w:ind w:left="560"/>
              <w:spacing w:after="0"/>
              <w:rPr>
                <w:sz w:val="20"/>
                <w:szCs w:val="20"/>
                <w:color w:val="auto"/>
              </w:rPr>
            </w:pPr>
            <w:r>
              <w:rPr>
                <w:rFonts w:ascii="Arial" w:cs="Arial" w:eastAsia="Arial" w:hAnsi="Arial"/>
                <w:sz w:val="18"/>
                <w:szCs w:val="18"/>
                <w:b w:val="1"/>
                <w:bCs w:val="1"/>
                <w:color w:val="auto"/>
              </w:rPr>
              <w:t>NET ASSETS AVAILABLE FOR BENEFITS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$1,586,879,729</w:t>
            </w: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$1,467,045,204</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210820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25"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2"/>
          <w:szCs w:val="22"/>
          <w:b w:val="1"/>
          <w:bCs w:val="1"/>
          <w:color w:val="auto"/>
        </w:rPr>
        <w:t>HNI CORPORATION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400" w:type="dxa"/>
            <w:vAlign w:val="bottom"/>
          </w:tcPr>
          <w:p>
            <w:pPr>
              <w:spacing w:after="0"/>
              <w:rPr>
                <w:sz w:val="20"/>
                <w:szCs w:val="20"/>
                <w:color w:val="auto"/>
              </w:rPr>
            </w:pPr>
            <w:r>
              <w:rPr>
                <w:rFonts w:ascii="Arial" w:cs="Arial" w:eastAsia="Arial" w:hAnsi="Arial"/>
                <w:sz w:val="18"/>
                <w:szCs w:val="18"/>
                <w:b w:val="1"/>
                <w:bCs w:val="1"/>
                <w:color w:val="auto"/>
              </w:rPr>
              <w:t>ADDITIONS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6"/>
        </w:trPr>
        <w:tc>
          <w:tcPr>
            <w:tcW w:w="9400" w:type="dxa"/>
            <w:vAlign w:val="bottom"/>
          </w:tcPr>
          <w:p>
            <w:pPr>
              <w:ind w:left="140"/>
              <w:spacing w:after="0"/>
              <w:rPr>
                <w:sz w:val="20"/>
                <w:szCs w:val="20"/>
                <w:color w:val="auto"/>
              </w:rPr>
            </w:pPr>
            <w:r>
              <w:rPr>
                <w:rFonts w:ascii="Arial" w:cs="Arial" w:eastAsia="Arial" w:hAnsi="Arial"/>
                <w:sz w:val="18"/>
                <w:szCs w:val="18"/>
                <w:color w:val="auto"/>
              </w:rPr>
              <w:t>Contributions</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0" w:type="dxa"/>
            <w:vAlign w:val="bottom"/>
          </w:tcPr>
          <w:p>
            <w:pPr>
              <w:ind w:left="480"/>
              <w:spacing w:after="0"/>
              <w:rPr>
                <w:sz w:val="20"/>
                <w:szCs w:val="20"/>
                <w:color w:val="auto"/>
              </w:rPr>
            </w:pPr>
            <w:r>
              <w:rPr>
                <w:rFonts w:ascii="Arial" w:cs="Arial" w:eastAsia="Arial" w:hAnsi="Arial"/>
                <w:sz w:val="18"/>
                <w:szCs w:val="18"/>
                <w:color w:val="auto"/>
              </w:rPr>
              <w:t>Participant</w:t>
            </w:r>
          </w:p>
        </w:tc>
        <w:tc>
          <w:tcPr>
            <w:tcW w:w="1820" w:type="dxa"/>
            <w:vAlign w:val="bottom"/>
          </w:tcPr>
          <w:p>
            <w:pPr>
              <w:jc w:val="right"/>
              <w:spacing w:after="0"/>
              <w:rPr>
                <w:sz w:val="20"/>
                <w:szCs w:val="20"/>
                <w:color w:val="auto"/>
              </w:rPr>
            </w:pPr>
            <w:r>
              <w:rPr>
                <w:rFonts w:ascii="Arial" w:cs="Arial" w:eastAsia="Arial" w:hAnsi="Arial"/>
                <w:sz w:val="18"/>
                <w:szCs w:val="18"/>
                <w:color w:val="auto"/>
              </w:rPr>
              <w:t>$51,954,514</w:t>
            </w:r>
          </w:p>
        </w:tc>
        <w:tc>
          <w:tcPr>
            <w:tcW w:w="0" w:type="dxa"/>
            <w:vAlign w:val="bottom"/>
          </w:tcPr>
          <w:p>
            <w:pPr>
              <w:spacing w:after="0"/>
              <w:rPr>
                <w:sz w:val="1"/>
                <w:szCs w:val="1"/>
                <w:color w:val="auto"/>
              </w:rPr>
            </w:pPr>
          </w:p>
        </w:tc>
      </w:tr>
      <w:tr>
        <w:trPr>
          <w:trHeight w:val="270"/>
        </w:trPr>
        <w:tc>
          <w:tcPr>
            <w:tcW w:w="9400" w:type="dxa"/>
            <w:vAlign w:val="bottom"/>
          </w:tcPr>
          <w:p>
            <w:pPr>
              <w:ind w:left="480"/>
              <w:spacing w:after="0"/>
              <w:rPr>
                <w:sz w:val="20"/>
                <w:szCs w:val="20"/>
                <w:color w:val="auto"/>
              </w:rPr>
            </w:pPr>
            <w:r>
              <w:rPr>
                <w:rFonts w:ascii="Arial" w:cs="Arial" w:eastAsia="Arial" w:hAnsi="Arial"/>
                <w:sz w:val="18"/>
                <w:szCs w:val="18"/>
                <w:color w:val="auto"/>
              </w:rPr>
              <w:t>Employer cash</w:t>
            </w:r>
          </w:p>
        </w:tc>
        <w:tc>
          <w:tcPr>
            <w:tcW w:w="1820" w:type="dxa"/>
            <w:vAlign w:val="bottom"/>
          </w:tcPr>
          <w:p>
            <w:pPr>
              <w:jc w:val="right"/>
              <w:spacing w:after="0"/>
              <w:rPr>
                <w:sz w:val="20"/>
                <w:szCs w:val="20"/>
                <w:color w:val="auto"/>
              </w:rPr>
            </w:pPr>
            <w:r>
              <w:rPr>
                <w:rFonts w:ascii="Arial" w:cs="Arial" w:eastAsia="Arial" w:hAnsi="Arial"/>
                <w:sz w:val="18"/>
                <w:szCs w:val="18"/>
                <w:color w:val="auto"/>
              </w:rPr>
              <w:t>25,576,016</w:t>
            </w:r>
          </w:p>
        </w:tc>
        <w:tc>
          <w:tcPr>
            <w:tcW w:w="0" w:type="dxa"/>
            <w:vAlign w:val="bottom"/>
          </w:tcPr>
          <w:p>
            <w:pPr>
              <w:spacing w:after="0"/>
              <w:rPr>
                <w:sz w:val="1"/>
                <w:szCs w:val="1"/>
                <w:color w:val="auto"/>
              </w:rPr>
            </w:pPr>
          </w:p>
        </w:tc>
      </w:tr>
      <w:tr>
        <w:trPr>
          <w:trHeight w:val="270"/>
        </w:trPr>
        <w:tc>
          <w:tcPr>
            <w:tcW w:w="9400" w:type="dxa"/>
            <w:vAlign w:val="bottom"/>
          </w:tcPr>
          <w:p>
            <w:pPr>
              <w:ind w:left="480"/>
              <w:spacing w:after="0"/>
              <w:rPr>
                <w:sz w:val="20"/>
                <w:szCs w:val="20"/>
                <w:color w:val="auto"/>
              </w:rPr>
            </w:pPr>
            <w:r>
              <w:rPr>
                <w:rFonts w:ascii="Arial" w:cs="Arial" w:eastAsia="Arial" w:hAnsi="Arial"/>
                <w:sz w:val="18"/>
                <w:szCs w:val="18"/>
                <w:color w:val="auto"/>
              </w:rPr>
              <w:t>Employer noncash (HNI Corporation common stock)</w:t>
            </w:r>
          </w:p>
        </w:tc>
        <w:tc>
          <w:tcPr>
            <w:tcW w:w="1820" w:type="dxa"/>
            <w:vAlign w:val="bottom"/>
          </w:tcPr>
          <w:p>
            <w:pPr>
              <w:jc w:val="right"/>
              <w:spacing w:after="0"/>
              <w:rPr>
                <w:sz w:val="20"/>
                <w:szCs w:val="20"/>
                <w:color w:val="auto"/>
              </w:rPr>
            </w:pPr>
            <w:r>
              <w:rPr>
                <w:rFonts w:ascii="Arial" w:cs="Arial" w:eastAsia="Arial" w:hAnsi="Arial"/>
                <w:sz w:val="18"/>
                <w:szCs w:val="18"/>
                <w:color w:val="auto"/>
              </w:rPr>
              <w:t>4,997,007</w:t>
            </w:r>
          </w:p>
        </w:tc>
        <w:tc>
          <w:tcPr>
            <w:tcW w:w="0" w:type="dxa"/>
            <w:vAlign w:val="bottom"/>
          </w:tcPr>
          <w:p>
            <w:pPr>
              <w:spacing w:after="0"/>
              <w:rPr>
                <w:sz w:val="1"/>
                <w:szCs w:val="1"/>
                <w:color w:val="auto"/>
              </w:rPr>
            </w:pPr>
          </w:p>
        </w:tc>
      </w:tr>
      <w:tr>
        <w:trPr>
          <w:trHeight w:val="270"/>
        </w:trPr>
        <w:tc>
          <w:tcPr>
            <w:tcW w:w="9400" w:type="dxa"/>
            <w:vAlign w:val="bottom"/>
          </w:tcPr>
          <w:p>
            <w:pPr>
              <w:ind w:left="480"/>
              <w:spacing w:after="0"/>
              <w:rPr>
                <w:sz w:val="20"/>
                <w:szCs w:val="20"/>
                <w:color w:val="auto"/>
              </w:rPr>
            </w:pPr>
            <w:r>
              <w:rPr>
                <w:rFonts w:ascii="Arial" w:cs="Arial" w:eastAsia="Arial" w:hAnsi="Arial"/>
                <w:sz w:val="18"/>
                <w:szCs w:val="18"/>
                <w:color w:val="auto"/>
              </w:rPr>
              <w:t>Rollovers</w:t>
            </w:r>
          </w:p>
        </w:tc>
        <w:tc>
          <w:tcPr>
            <w:tcW w:w="1820" w:type="dxa"/>
            <w:vAlign w:val="bottom"/>
          </w:tcPr>
          <w:p>
            <w:pPr>
              <w:jc w:val="right"/>
              <w:spacing w:after="0"/>
              <w:rPr>
                <w:sz w:val="20"/>
                <w:szCs w:val="20"/>
                <w:color w:val="auto"/>
              </w:rPr>
            </w:pPr>
            <w:r>
              <w:rPr>
                <w:rFonts w:ascii="Arial" w:cs="Arial" w:eastAsia="Arial" w:hAnsi="Arial"/>
                <w:sz w:val="18"/>
                <w:szCs w:val="18"/>
                <w:color w:val="auto"/>
              </w:rPr>
              <w:t>3,841,725</w:t>
            </w:r>
          </w:p>
        </w:tc>
        <w:tc>
          <w:tcPr>
            <w:tcW w:w="0" w:type="dxa"/>
            <w:vAlign w:val="bottom"/>
          </w:tcPr>
          <w:p>
            <w:pPr>
              <w:spacing w:after="0"/>
              <w:rPr>
                <w:sz w:val="1"/>
                <w:szCs w:val="1"/>
                <w:color w:val="auto"/>
              </w:rPr>
            </w:pPr>
          </w:p>
        </w:tc>
      </w:tr>
      <w:tr>
        <w:trPr>
          <w:trHeight w:val="23"/>
        </w:trPr>
        <w:tc>
          <w:tcPr>
            <w:tcW w:w="9400" w:type="dxa"/>
            <w:vAlign w:val="bottom"/>
            <w:vMerge w:val="restart"/>
          </w:tcPr>
          <w:p>
            <w:pPr>
              <w:ind w:left="780"/>
              <w:spacing w:after="0"/>
              <w:rPr>
                <w:sz w:val="20"/>
                <w:szCs w:val="20"/>
                <w:color w:val="auto"/>
              </w:rPr>
            </w:pPr>
            <w:r>
              <w:rPr>
                <w:rFonts w:ascii="Arial" w:cs="Arial" w:eastAsia="Arial" w:hAnsi="Arial"/>
                <w:sz w:val="18"/>
                <w:szCs w:val="18"/>
                <w:color w:val="auto"/>
              </w:rPr>
              <w:t>Total contributions</w:t>
            </w: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9400" w:type="dxa"/>
            <w:vAlign w:val="bottom"/>
            <w:vMerge w:val="continue"/>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86,369,262</w:t>
            </w:r>
          </w:p>
        </w:tc>
        <w:tc>
          <w:tcPr>
            <w:tcW w:w="0" w:type="dxa"/>
            <w:vAlign w:val="bottom"/>
          </w:tcPr>
          <w:p>
            <w:pPr>
              <w:spacing w:after="0"/>
              <w:rPr>
                <w:sz w:val="1"/>
                <w:szCs w:val="1"/>
                <w:color w:val="auto"/>
              </w:rPr>
            </w:pPr>
          </w:p>
        </w:tc>
      </w:tr>
      <w:tr>
        <w:trPr>
          <w:trHeight w:val="23"/>
        </w:trPr>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Investment Income</w:t>
            </w: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3"/>
        </w:trPr>
        <w:tc>
          <w:tcPr>
            <w:tcW w:w="940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0" w:type="dxa"/>
            <w:vAlign w:val="bottom"/>
          </w:tcPr>
          <w:p>
            <w:pPr>
              <w:ind w:left="480"/>
              <w:spacing w:after="0"/>
              <w:rPr>
                <w:sz w:val="20"/>
                <w:szCs w:val="20"/>
                <w:color w:val="auto"/>
              </w:rPr>
            </w:pPr>
            <w:r>
              <w:rPr>
                <w:rFonts w:ascii="Arial" w:cs="Arial" w:eastAsia="Arial" w:hAnsi="Arial"/>
                <w:sz w:val="18"/>
                <w:szCs w:val="18"/>
                <w:color w:val="auto"/>
              </w:rPr>
              <w:t>Net appreciation in fair value of investments</w:t>
            </w:r>
          </w:p>
        </w:tc>
        <w:tc>
          <w:tcPr>
            <w:tcW w:w="1820" w:type="dxa"/>
            <w:vAlign w:val="bottom"/>
          </w:tcPr>
          <w:p>
            <w:pPr>
              <w:jc w:val="right"/>
              <w:spacing w:after="0"/>
              <w:rPr>
                <w:sz w:val="20"/>
                <w:szCs w:val="20"/>
                <w:color w:val="auto"/>
              </w:rPr>
            </w:pPr>
            <w:r>
              <w:rPr>
                <w:rFonts w:ascii="Arial" w:cs="Arial" w:eastAsia="Arial" w:hAnsi="Arial"/>
                <w:sz w:val="18"/>
                <w:szCs w:val="18"/>
                <w:color w:val="auto"/>
              </w:rPr>
              <w:t>193,810,831</w:t>
            </w:r>
          </w:p>
        </w:tc>
        <w:tc>
          <w:tcPr>
            <w:tcW w:w="0" w:type="dxa"/>
            <w:vAlign w:val="bottom"/>
          </w:tcPr>
          <w:p>
            <w:pPr>
              <w:spacing w:after="0"/>
              <w:rPr>
                <w:sz w:val="1"/>
                <w:szCs w:val="1"/>
                <w:color w:val="auto"/>
              </w:rPr>
            </w:pPr>
          </w:p>
        </w:tc>
      </w:tr>
      <w:tr>
        <w:trPr>
          <w:trHeight w:val="270"/>
        </w:trPr>
        <w:tc>
          <w:tcPr>
            <w:tcW w:w="9400" w:type="dxa"/>
            <w:vAlign w:val="bottom"/>
          </w:tcPr>
          <w:p>
            <w:pPr>
              <w:ind w:left="480"/>
              <w:spacing w:after="0"/>
              <w:rPr>
                <w:sz w:val="20"/>
                <w:szCs w:val="20"/>
                <w:color w:val="auto"/>
              </w:rPr>
            </w:pPr>
            <w:r>
              <w:rPr>
                <w:rFonts w:ascii="Arial" w:cs="Arial" w:eastAsia="Arial" w:hAnsi="Arial"/>
                <w:sz w:val="18"/>
                <w:szCs w:val="18"/>
                <w:color w:val="auto"/>
              </w:rPr>
              <w:t>Interest and dividends</w:t>
            </w:r>
          </w:p>
        </w:tc>
        <w:tc>
          <w:tcPr>
            <w:tcW w:w="1820" w:type="dxa"/>
            <w:vAlign w:val="bottom"/>
          </w:tcPr>
          <w:p>
            <w:pPr>
              <w:jc w:val="right"/>
              <w:spacing w:after="0"/>
              <w:rPr>
                <w:sz w:val="20"/>
                <w:szCs w:val="20"/>
                <w:color w:val="auto"/>
              </w:rPr>
            </w:pPr>
            <w:r>
              <w:rPr>
                <w:rFonts w:ascii="Arial" w:cs="Arial" w:eastAsia="Arial" w:hAnsi="Arial"/>
                <w:sz w:val="18"/>
                <w:szCs w:val="18"/>
                <w:color w:val="auto"/>
              </w:rPr>
              <w:t>10,107,754</w:t>
            </w:r>
          </w:p>
        </w:tc>
        <w:tc>
          <w:tcPr>
            <w:tcW w:w="0" w:type="dxa"/>
            <w:vAlign w:val="bottom"/>
          </w:tcPr>
          <w:p>
            <w:pPr>
              <w:spacing w:after="0"/>
              <w:rPr>
                <w:sz w:val="1"/>
                <w:szCs w:val="1"/>
                <w:color w:val="auto"/>
              </w:rPr>
            </w:pPr>
          </w:p>
        </w:tc>
      </w:tr>
      <w:tr>
        <w:trPr>
          <w:trHeight w:val="23"/>
        </w:trPr>
        <w:tc>
          <w:tcPr>
            <w:tcW w:w="9400" w:type="dxa"/>
            <w:vAlign w:val="bottom"/>
            <w:vMerge w:val="restart"/>
          </w:tcPr>
          <w:p>
            <w:pPr>
              <w:ind w:left="780"/>
              <w:spacing w:after="0"/>
              <w:rPr>
                <w:sz w:val="20"/>
                <w:szCs w:val="20"/>
                <w:color w:val="auto"/>
              </w:rPr>
            </w:pPr>
            <w:r>
              <w:rPr>
                <w:rFonts w:ascii="Arial" w:cs="Arial" w:eastAsia="Arial" w:hAnsi="Arial"/>
                <w:sz w:val="18"/>
                <w:szCs w:val="18"/>
                <w:color w:val="auto"/>
              </w:rPr>
              <w:t>Net investment income</w:t>
            </w: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9400" w:type="dxa"/>
            <w:vAlign w:val="bottom"/>
            <w:vMerge w:val="continue"/>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203,918,585</w:t>
            </w:r>
          </w:p>
        </w:tc>
        <w:tc>
          <w:tcPr>
            <w:tcW w:w="0" w:type="dxa"/>
            <w:vAlign w:val="bottom"/>
          </w:tcPr>
          <w:p>
            <w:pPr>
              <w:spacing w:after="0"/>
              <w:rPr>
                <w:sz w:val="1"/>
                <w:szCs w:val="1"/>
                <w:color w:val="auto"/>
              </w:rPr>
            </w:pPr>
          </w:p>
        </w:tc>
      </w:tr>
      <w:tr>
        <w:trPr>
          <w:trHeight w:val="23"/>
        </w:trPr>
        <w:tc>
          <w:tcPr>
            <w:tcW w:w="94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1"/>
        </w:trPr>
        <w:tc>
          <w:tcPr>
            <w:tcW w:w="9400" w:type="dxa"/>
            <w:vAlign w:val="bottom"/>
          </w:tcPr>
          <w:p>
            <w:pPr>
              <w:ind w:left="140"/>
              <w:spacing w:after="0"/>
              <w:rPr>
                <w:sz w:val="20"/>
                <w:szCs w:val="20"/>
                <w:color w:val="auto"/>
              </w:rPr>
            </w:pPr>
            <w:r>
              <w:rPr>
                <w:rFonts w:ascii="Arial" w:cs="Arial" w:eastAsia="Arial" w:hAnsi="Arial"/>
                <w:sz w:val="18"/>
                <w:szCs w:val="18"/>
                <w:color w:val="auto"/>
              </w:rPr>
              <w:t>Interest on notes receivable from participants</w:t>
            </w:r>
          </w:p>
        </w:tc>
        <w:tc>
          <w:tcPr>
            <w:tcW w:w="1820" w:type="dxa"/>
            <w:vAlign w:val="bottom"/>
          </w:tcPr>
          <w:p>
            <w:pPr>
              <w:jc w:val="right"/>
              <w:spacing w:after="0"/>
              <w:rPr>
                <w:sz w:val="20"/>
                <w:szCs w:val="20"/>
                <w:color w:val="auto"/>
              </w:rPr>
            </w:pPr>
            <w:r>
              <w:rPr>
                <w:rFonts w:ascii="Arial" w:cs="Arial" w:eastAsia="Arial" w:hAnsi="Arial"/>
                <w:sz w:val="18"/>
                <w:szCs w:val="18"/>
                <w:color w:val="auto"/>
              </w:rPr>
              <w:t>1,545,796</w:t>
            </w:r>
          </w:p>
        </w:tc>
        <w:tc>
          <w:tcPr>
            <w:tcW w:w="0" w:type="dxa"/>
            <w:vAlign w:val="bottom"/>
          </w:tcPr>
          <w:p>
            <w:pPr>
              <w:spacing w:after="0"/>
              <w:rPr>
                <w:sz w:val="1"/>
                <w:szCs w:val="1"/>
                <w:color w:val="auto"/>
              </w:rPr>
            </w:pPr>
          </w:p>
        </w:tc>
      </w:tr>
      <w:tr>
        <w:trPr>
          <w:trHeight w:val="23"/>
        </w:trPr>
        <w:tc>
          <w:tcPr>
            <w:tcW w:w="94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9400" w:type="dxa"/>
            <w:vAlign w:val="bottom"/>
          </w:tcPr>
          <w:p>
            <w:pPr>
              <w:ind w:left="880"/>
              <w:spacing w:after="0"/>
              <w:rPr>
                <w:sz w:val="20"/>
                <w:szCs w:val="20"/>
                <w:color w:val="auto"/>
              </w:rPr>
            </w:pPr>
            <w:r>
              <w:rPr>
                <w:rFonts w:ascii="Arial" w:cs="Arial" w:eastAsia="Arial" w:hAnsi="Arial"/>
                <w:sz w:val="18"/>
                <w:szCs w:val="18"/>
                <w:color w:val="auto"/>
              </w:rPr>
              <w:t>Total additions</w:t>
            </w:r>
          </w:p>
        </w:tc>
        <w:tc>
          <w:tcPr>
            <w:tcW w:w="1820" w:type="dxa"/>
            <w:vAlign w:val="bottom"/>
          </w:tcPr>
          <w:p>
            <w:pPr>
              <w:jc w:val="right"/>
              <w:spacing w:after="0"/>
              <w:rPr>
                <w:sz w:val="20"/>
                <w:szCs w:val="20"/>
                <w:color w:val="auto"/>
              </w:rPr>
            </w:pPr>
            <w:r>
              <w:rPr>
                <w:rFonts w:ascii="Arial" w:cs="Arial" w:eastAsia="Arial" w:hAnsi="Arial"/>
                <w:sz w:val="18"/>
                <w:szCs w:val="18"/>
                <w:color w:val="auto"/>
              </w:rPr>
              <w:t>291,833,643</w:t>
            </w:r>
          </w:p>
        </w:tc>
        <w:tc>
          <w:tcPr>
            <w:tcW w:w="0" w:type="dxa"/>
            <w:vAlign w:val="bottom"/>
          </w:tcPr>
          <w:p>
            <w:pPr>
              <w:spacing w:after="0"/>
              <w:rPr>
                <w:sz w:val="1"/>
                <w:szCs w:val="1"/>
                <w:color w:val="auto"/>
              </w:rPr>
            </w:pPr>
          </w:p>
        </w:tc>
      </w:tr>
      <w:tr>
        <w:trPr>
          <w:trHeight w:val="23"/>
        </w:trPr>
        <w:tc>
          <w:tcPr>
            <w:tcW w:w="9400" w:type="dxa"/>
            <w:vAlign w:val="bottom"/>
            <w:vMerge w:val="restart"/>
          </w:tcPr>
          <w:p>
            <w:pPr>
              <w:spacing w:after="0"/>
              <w:rPr>
                <w:sz w:val="20"/>
                <w:szCs w:val="20"/>
                <w:color w:val="auto"/>
              </w:rPr>
            </w:pPr>
            <w:r>
              <w:rPr>
                <w:rFonts w:ascii="Arial" w:cs="Arial" w:eastAsia="Arial" w:hAnsi="Arial"/>
                <w:sz w:val="18"/>
                <w:szCs w:val="18"/>
                <w:b w:val="1"/>
                <w:bCs w:val="1"/>
                <w:color w:val="auto"/>
              </w:rPr>
              <w:t>DEDUCTIONS</w:t>
            </w: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1"/>
        </w:trPr>
        <w:tc>
          <w:tcPr>
            <w:tcW w:w="940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6"/>
        </w:trPr>
        <w:tc>
          <w:tcPr>
            <w:tcW w:w="9400" w:type="dxa"/>
            <w:vAlign w:val="bottom"/>
          </w:tcPr>
          <w:p>
            <w:pPr>
              <w:ind w:left="500"/>
              <w:spacing w:after="0"/>
              <w:rPr>
                <w:sz w:val="20"/>
                <w:szCs w:val="20"/>
                <w:color w:val="auto"/>
              </w:rPr>
            </w:pPr>
            <w:r>
              <w:rPr>
                <w:rFonts w:ascii="Arial" w:cs="Arial" w:eastAsia="Arial" w:hAnsi="Arial"/>
                <w:sz w:val="18"/>
                <w:szCs w:val="18"/>
                <w:color w:val="auto"/>
              </w:rPr>
              <w:t>Benefits paid to participants</w:t>
            </w:r>
          </w:p>
        </w:tc>
        <w:tc>
          <w:tcPr>
            <w:tcW w:w="1820" w:type="dxa"/>
            <w:vAlign w:val="bottom"/>
          </w:tcPr>
          <w:p>
            <w:pPr>
              <w:jc w:val="right"/>
              <w:spacing w:after="0"/>
              <w:rPr>
                <w:sz w:val="20"/>
                <w:szCs w:val="20"/>
                <w:color w:val="auto"/>
              </w:rPr>
            </w:pPr>
            <w:r>
              <w:rPr>
                <w:rFonts w:ascii="Arial" w:cs="Arial" w:eastAsia="Arial" w:hAnsi="Arial"/>
                <w:sz w:val="18"/>
                <w:szCs w:val="18"/>
                <w:color w:val="auto"/>
              </w:rPr>
              <w:t>171,440,477</w:t>
            </w:r>
          </w:p>
        </w:tc>
        <w:tc>
          <w:tcPr>
            <w:tcW w:w="0" w:type="dxa"/>
            <w:vAlign w:val="bottom"/>
          </w:tcPr>
          <w:p>
            <w:pPr>
              <w:spacing w:after="0"/>
              <w:rPr>
                <w:sz w:val="1"/>
                <w:szCs w:val="1"/>
                <w:color w:val="auto"/>
              </w:rPr>
            </w:pPr>
          </w:p>
        </w:tc>
      </w:tr>
      <w:tr>
        <w:trPr>
          <w:trHeight w:val="270"/>
        </w:trPr>
        <w:tc>
          <w:tcPr>
            <w:tcW w:w="9400" w:type="dxa"/>
            <w:vAlign w:val="bottom"/>
          </w:tcPr>
          <w:p>
            <w:pPr>
              <w:ind w:left="500"/>
              <w:spacing w:after="0"/>
              <w:rPr>
                <w:sz w:val="20"/>
                <w:szCs w:val="20"/>
                <w:color w:val="auto"/>
              </w:rPr>
            </w:pPr>
            <w:r>
              <w:rPr>
                <w:rFonts w:ascii="Arial" w:cs="Arial" w:eastAsia="Arial" w:hAnsi="Arial"/>
                <w:sz w:val="18"/>
                <w:szCs w:val="18"/>
                <w:color w:val="auto"/>
              </w:rPr>
              <w:t>Administrative expenses</w:t>
            </w:r>
          </w:p>
        </w:tc>
        <w:tc>
          <w:tcPr>
            <w:tcW w:w="1820" w:type="dxa"/>
            <w:vAlign w:val="bottom"/>
          </w:tcPr>
          <w:p>
            <w:pPr>
              <w:jc w:val="right"/>
              <w:spacing w:after="0"/>
              <w:rPr>
                <w:sz w:val="20"/>
                <w:szCs w:val="20"/>
                <w:color w:val="auto"/>
              </w:rPr>
            </w:pPr>
            <w:r>
              <w:rPr>
                <w:rFonts w:ascii="Arial" w:cs="Arial" w:eastAsia="Arial" w:hAnsi="Arial"/>
                <w:sz w:val="18"/>
                <w:szCs w:val="18"/>
                <w:color w:val="auto"/>
              </w:rPr>
              <w:t>558,641</w:t>
            </w:r>
          </w:p>
        </w:tc>
        <w:tc>
          <w:tcPr>
            <w:tcW w:w="0" w:type="dxa"/>
            <w:vAlign w:val="bottom"/>
          </w:tcPr>
          <w:p>
            <w:pPr>
              <w:spacing w:after="0"/>
              <w:rPr>
                <w:sz w:val="1"/>
                <w:szCs w:val="1"/>
                <w:color w:val="auto"/>
              </w:rPr>
            </w:pPr>
          </w:p>
        </w:tc>
      </w:tr>
      <w:tr>
        <w:trPr>
          <w:trHeight w:val="23"/>
        </w:trPr>
        <w:tc>
          <w:tcPr>
            <w:tcW w:w="94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9400" w:type="dxa"/>
            <w:vAlign w:val="bottom"/>
          </w:tcPr>
          <w:p>
            <w:pPr>
              <w:ind w:left="500"/>
              <w:spacing w:after="0"/>
              <w:rPr>
                <w:sz w:val="20"/>
                <w:szCs w:val="20"/>
                <w:color w:val="auto"/>
              </w:rPr>
            </w:pPr>
            <w:r>
              <w:rPr>
                <w:rFonts w:ascii="Arial" w:cs="Arial" w:eastAsia="Arial" w:hAnsi="Arial"/>
                <w:sz w:val="18"/>
                <w:szCs w:val="18"/>
                <w:color w:val="auto"/>
              </w:rPr>
              <w:t>Total deductions</w:t>
            </w:r>
          </w:p>
        </w:tc>
        <w:tc>
          <w:tcPr>
            <w:tcW w:w="1820" w:type="dxa"/>
            <w:vAlign w:val="bottom"/>
          </w:tcPr>
          <w:p>
            <w:pPr>
              <w:jc w:val="right"/>
              <w:spacing w:after="0"/>
              <w:rPr>
                <w:sz w:val="20"/>
                <w:szCs w:val="20"/>
                <w:color w:val="auto"/>
              </w:rPr>
            </w:pPr>
            <w:r>
              <w:rPr>
                <w:rFonts w:ascii="Arial" w:cs="Arial" w:eastAsia="Arial" w:hAnsi="Arial"/>
                <w:sz w:val="18"/>
                <w:szCs w:val="18"/>
                <w:color w:val="auto"/>
              </w:rPr>
              <w:t>171,999,118</w:t>
            </w:r>
          </w:p>
        </w:tc>
        <w:tc>
          <w:tcPr>
            <w:tcW w:w="0" w:type="dxa"/>
            <w:vAlign w:val="bottom"/>
          </w:tcPr>
          <w:p>
            <w:pPr>
              <w:spacing w:after="0"/>
              <w:rPr>
                <w:sz w:val="1"/>
                <w:szCs w:val="1"/>
                <w:color w:val="auto"/>
              </w:rPr>
            </w:pPr>
          </w:p>
        </w:tc>
      </w:tr>
      <w:tr>
        <w:trPr>
          <w:trHeight w:val="23"/>
        </w:trPr>
        <w:tc>
          <w:tcPr>
            <w:tcW w:w="94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9"/>
        </w:trPr>
        <w:tc>
          <w:tcPr>
            <w:tcW w:w="9400" w:type="dxa"/>
            <w:vAlign w:val="bottom"/>
          </w:tcPr>
          <w:p>
            <w:pPr>
              <w:spacing w:after="0"/>
              <w:rPr>
                <w:sz w:val="20"/>
                <w:szCs w:val="20"/>
                <w:color w:val="auto"/>
              </w:rPr>
            </w:pPr>
            <w:r>
              <w:rPr>
                <w:rFonts w:ascii="Arial" w:cs="Arial" w:eastAsia="Arial" w:hAnsi="Arial"/>
                <w:sz w:val="18"/>
                <w:szCs w:val="18"/>
                <w:b w:val="1"/>
                <w:bCs w:val="1"/>
                <w:color w:val="auto"/>
              </w:rPr>
              <w:t>NET INCREASE IN ASSETS AVAILABLE FOR BENEFITS</w:t>
            </w:r>
          </w:p>
        </w:tc>
        <w:tc>
          <w:tcPr>
            <w:tcW w:w="1820" w:type="dxa"/>
            <w:vAlign w:val="bottom"/>
          </w:tcPr>
          <w:p>
            <w:pPr>
              <w:jc w:val="right"/>
              <w:spacing w:after="0"/>
              <w:rPr>
                <w:sz w:val="20"/>
                <w:szCs w:val="20"/>
                <w:color w:val="auto"/>
              </w:rPr>
            </w:pPr>
            <w:r>
              <w:rPr>
                <w:rFonts w:ascii="Arial" w:cs="Arial" w:eastAsia="Arial" w:hAnsi="Arial"/>
                <w:sz w:val="18"/>
                <w:szCs w:val="18"/>
                <w:color w:val="auto"/>
              </w:rPr>
              <w:t>119,834,525</w:t>
            </w:r>
          </w:p>
        </w:tc>
        <w:tc>
          <w:tcPr>
            <w:tcW w:w="0" w:type="dxa"/>
            <w:vAlign w:val="bottom"/>
          </w:tcPr>
          <w:p>
            <w:pPr>
              <w:spacing w:after="0"/>
              <w:rPr>
                <w:sz w:val="1"/>
                <w:szCs w:val="1"/>
                <w:color w:val="auto"/>
              </w:rPr>
            </w:pPr>
          </w:p>
        </w:tc>
      </w:tr>
      <w:tr>
        <w:trPr>
          <w:trHeight w:val="527"/>
        </w:trPr>
        <w:tc>
          <w:tcPr>
            <w:tcW w:w="9400" w:type="dxa"/>
            <w:vAlign w:val="bottom"/>
          </w:tcPr>
          <w:p>
            <w:pPr>
              <w:spacing w:after="0"/>
              <w:rPr>
                <w:sz w:val="20"/>
                <w:szCs w:val="20"/>
                <w:color w:val="auto"/>
              </w:rPr>
            </w:pPr>
            <w:r>
              <w:rPr>
                <w:rFonts w:ascii="Arial" w:cs="Arial" w:eastAsia="Arial" w:hAnsi="Arial"/>
                <w:sz w:val="18"/>
                <w:szCs w:val="18"/>
                <w:b w:val="1"/>
                <w:bCs w:val="1"/>
                <w:color w:val="auto"/>
              </w:rPr>
              <w:t>NET ASSETS AVAILABLE FOR BENEFITS -</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9400" w:type="dxa"/>
            <w:vAlign w:val="bottom"/>
          </w:tcPr>
          <w:p>
            <w:pPr>
              <w:ind w:left="140"/>
              <w:spacing w:after="0"/>
              <w:rPr>
                <w:sz w:val="20"/>
                <w:szCs w:val="20"/>
                <w:color w:val="auto"/>
              </w:rPr>
            </w:pPr>
            <w:r>
              <w:rPr>
                <w:rFonts w:ascii="Arial" w:cs="Arial" w:eastAsia="Arial" w:hAnsi="Arial"/>
                <w:sz w:val="18"/>
                <w:szCs w:val="18"/>
                <w:color w:val="auto"/>
              </w:rPr>
              <w:t>Beginning of year</w:t>
            </w:r>
          </w:p>
        </w:tc>
        <w:tc>
          <w:tcPr>
            <w:tcW w:w="1820" w:type="dxa"/>
            <w:vAlign w:val="bottom"/>
          </w:tcPr>
          <w:p>
            <w:pPr>
              <w:jc w:val="right"/>
              <w:spacing w:after="0"/>
              <w:rPr>
                <w:sz w:val="20"/>
                <w:szCs w:val="20"/>
                <w:color w:val="auto"/>
              </w:rPr>
            </w:pPr>
            <w:r>
              <w:rPr>
                <w:rFonts w:ascii="Arial" w:cs="Arial" w:eastAsia="Arial" w:hAnsi="Arial"/>
                <w:sz w:val="18"/>
                <w:szCs w:val="18"/>
                <w:color w:val="auto"/>
              </w:rPr>
              <w:t>1,467,045,204</w:t>
            </w:r>
          </w:p>
        </w:tc>
        <w:tc>
          <w:tcPr>
            <w:tcW w:w="0" w:type="dxa"/>
            <w:vAlign w:val="bottom"/>
          </w:tcPr>
          <w:p>
            <w:pPr>
              <w:spacing w:after="0"/>
              <w:rPr>
                <w:sz w:val="1"/>
                <w:szCs w:val="1"/>
                <w:color w:val="auto"/>
              </w:rPr>
            </w:pPr>
          </w:p>
        </w:tc>
      </w:tr>
      <w:tr>
        <w:trPr>
          <w:trHeight w:val="23"/>
        </w:trPr>
        <w:tc>
          <w:tcPr>
            <w:tcW w:w="9400" w:type="dxa"/>
            <w:vAlign w:val="bottom"/>
            <w:vMerge w:val="restart"/>
          </w:tcPr>
          <w:p>
            <w:pPr>
              <w:spacing w:after="0"/>
              <w:rPr>
                <w:sz w:val="20"/>
                <w:szCs w:val="20"/>
                <w:color w:val="auto"/>
              </w:rPr>
            </w:pPr>
            <w:r>
              <w:rPr>
                <w:rFonts w:ascii="Arial" w:cs="Arial" w:eastAsia="Arial" w:hAnsi="Arial"/>
                <w:sz w:val="18"/>
                <w:szCs w:val="18"/>
                <w:b w:val="1"/>
                <w:bCs w:val="1"/>
                <w:color w:val="auto"/>
              </w:rPr>
              <w:t>NET ASSETS AVAILABLE FOR BENEFITS -</w:t>
            </w: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1"/>
        </w:trPr>
        <w:tc>
          <w:tcPr>
            <w:tcW w:w="940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400" w:type="dxa"/>
            <w:vAlign w:val="bottom"/>
          </w:tcPr>
          <w:p>
            <w:pPr>
              <w:ind w:left="140"/>
              <w:spacing w:after="0"/>
              <w:rPr>
                <w:sz w:val="20"/>
                <w:szCs w:val="20"/>
                <w:color w:val="auto"/>
              </w:rPr>
            </w:pPr>
            <w:r>
              <w:rPr>
                <w:rFonts w:ascii="Arial" w:cs="Arial" w:eastAsia="Arial" w:hAnsi="Arial"/>
                <w:sz w:val="18"/>
                <w:szCs w:val="18"/>
                <w:color w:val="auto"/>
              </w:rPr>
              <w:t>End of year</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$1,586,879,729</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HNI CORPORATION 401(k)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 – Description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description of the HNI Corporation 401(k) Plan (the "Plan"), formerly known as HNI Corporation Profit Sharing Retirement Plan, amended effective December 31, 2024, provides only general information. Participants should refer to the Plan document for a more complete description of the Plan's provisions.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General and Eligibility </w:t>
      </w:r>
      <w:r>
        <w:rPr>
          <w:rFonts w:ascii="Arial" w:cs="Arial" w:eastAsia="Arial" w:hAnsi="Arial"/>
          <w:sz w:val="18"/>
          <w:szCs w:val="18"/>
          <w:color w:val="auto"/>
        </w:rPr>
        <w:t>- The Plan is a defined contribution plan covering substantially all employees who are age 18 years or older of HNI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most of its 100% owned subsidiaries/divisions, including: HNI International Inc., HNI Services LLC, HNI Technologies Inc., HNI Workplace Furnishings LLC, Hearth &amp; Home Technologies LLC, Design Holdings, Inc., and Kimball International, Inc. (collectively the "Company” and “Employer”). The Company acquired Steelcase, Inc. in 2025; however, the Steelcase employees are not yet covered under this plan. Management is currently evaluating the timeline for plan integration, however, no definitive actions have been taken. The Plan is subject to the provisions of the Employee Retirement Income Security Act of 1974 (“ERISA”), as amended.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July 24, 2022, the Plan was amended to merge the Outdoor Greatroom, LLC Plan into this Plan and to add Outdoor Greatroom, LLC as a participating subsidiary/employer. Transfers of $13,668 related to the merger were completed in 2024, with the remaining residual balance transferred in 2025.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December 31, 2024, the Plan was amended to merge the Kimball International Retirement Plan into this Plan and to add Kimball International, Inc. as a participating subsidiary/employer. Transfers of balances related to the merger were completed in 2025. Total balance transferred consisted of $349,860,565 of prior-year cash receivables and $5,307 of current-year cash receivables, $3,450,886 of prior-year notes receivables from participants and $8,107 of current-year notes receivable from participants, for a total transferred balance of $353,324,865.</w:t>
      </w:r>
    </w:p>
    <w:p>
      <w:pPr>
        <w:spacing w:after="0" w:line="17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 Administrative and Fund Committee determines the appropriateness of the Plan’s investment offerings and monitor investment performance.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Contributions </w:t>
      </w:r>
      <w:r>
        <w:rPr>
          <w:rFonts w:ascii="Arial" w:cs="Arial" w:eastAsia="Arial" w:hAnsi="Arial"/>
          <w:sz w:val="18"/>
          <w:szCs w:val="18"/>
          <w:color w:val="auto"/>
        </w:rPr>
        <w:t>– Participants may make voluntary pretax and after-tax contributions up to 75% of their compensation, subject to limitations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prescribed by the Internal Revenue Code (“Code”). At the time of employment or reemployment and unless a participant affirmatively elects to the contrary, a participant is automatically enrolled in the Plan and deemed to have elected a three percent (3%) pretax deferral commencing on the first payroll that is 45 days after the employee is first eligible to make such contributions. Thereafter, on the anniversary date of such participant’s automatic enrollment date, the pre-tax deferral rate is increased by one percent (1%) until such time as it reaches a maximum of ten percent (10%).</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Participants also may contribute amounts representing distributions (“rollover contributions”) from other qualified benefit or defined contribution plans.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Employer contributions to eligible participant accounts. Certain subsidiaries/divisions provide Employer matching contributions. The Company made Employer matching contributions, net of forfeitures, of $ 25,576,016 for the 2025 plan year, plus minor prior-year true-up contributions of $ 8,348. In addition, the Company may elect to contribute a number of shares of Company stock with a fair market value as of the date of the contribution, equal to a certain percentage of a participant’s compensation earned, as described above (“Company ownership contribution”). The Company made a noncash Company ownership contribution of $4,994,445 for the 2025 plan year in 2026, as well as true-up contributions for the prior year of $2,562 in 2025.</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Each subsidiary/division may make additional Employer contributions to the Plan from their accumulated profits (“profit-sharing contributions”), at the discretion of the Board of Directors. The Company did not elect to make any discretionary or profit sharing contributions for the 2025 plan year.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660"/>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HNI CORPORATION 401(k)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 – Description of the Plan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Participant Accounts </w:t>
      </w:r>
      <w:r>
        <w:rPr>
          <w:rFonts w:ascii="Arial" w:cs="Arial" w:eastAsia="Arial" w:hAnsi="Arial"/>
          <w:sz w:val="18"/>
          <w:szCs w:val="18"/>
          <w:color w:val="auto"/>
        </w:rPr>
        <w:t>– Individual accounts are maintained for each Plan participant. Each participant's account is credited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contributions, Employer contributions, and Plan earnings, and charged with withdrawals and an allocation of Plan losses and administrative expenses. The benefit to which a participant is entitled is the benefit that can be provided from the participant's vested account. The Plan allows participants to diversify all of their account balance, including the portion attributable to Employer contributions. The Plan has no restrictions on the sale of Company stock held in the Plan. A participant may not make an investment direction with respect to future contributions or direct a reallocation of his or her account if the direction would cause the investment in HNI stock to exceed 25% of the current value of the participant's total account.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 New participants in the Plan generally will be immediately vested in their entire account. All other participants with active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fully vested in their entire account; however, amounts held in the Outdoor Greatroom (OG) Plan Matching Account and OG Nonelective Account and the Kimball International Retirement Plan (KII) effective as of their respective merger dates are subject to the vesting schedules shown below:</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OG Schedule</w:t>
            </w:r>
          </w:p>
        </w:tc>
        <w:tc>
          <w:tcPr>
            <w:tcW w:w="188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8"/>
              </w:rPr>
              <w:t>KII Schedule Vested</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w w:val="97"/>
              </w:rPr>
              <w:t>Years of Vesting Service</w:t>
            </w:r>
          </w:p>
        </w:tc>
        <w:tc>
          <w:tcPr>
            <w:tcW w:w="10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7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8"/>
              </w:rPr>
              <w:t>Vested Percentage</w:t>
            </w: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880" w:type="dxa"/>
            <w:vAlign w:val="bottom"/>
            <w:gridSpan w:val="4"/>
          </w:tcPr>
          <w:p>
            <w:pPr>
              <w:jc w:val="center"/>
              <w:ind w:left="90"/>
              <w:spacing w:after="0" w:line="196"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95"/>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Less than 1 year</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At least 1 year but less than 2 years</w:t>
            </w:r>
          </w:p>
        </w:tc>
        <w:tc>
          <w:tcPr>
            <w:tcW w:w="190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23"/>
                <w:szCs w:val="23"/>
                <w:color w:val="auto"/>
              </w:rPr>
            </w:pPr>
          </w:p>
        </w:tc>
        <w:tc>
          <w:tcPr>
            <w:tcW w:w="1300" w:type="dxa"/>
            <w:vAlign w:val="bottom"/>
            <w:gridSpan w:val="2"/>
          </w:tcPr>
          <w:p>
            <w:pPr>
              <w:jc w:val="center"/>
              <w:ind w:left="650"/>
              <w:spacing w:after="0"/>
              <w:rPr>
                <w:sz w:val="20"/>
                <w:szCs w:val="20"/>
                <w:color w:val="auto"/>
              </w:rPr>
            </w:pPr>
            <w:r>
              <w:rPr>
                <w:rFonts w:ascii="Arial" w:cs="Arial" w:eastAsia="Arial" w:hAnsi="Arial"/>
                <w:sz w:val="18"/>
                <w:szCs w:val="18"/>
                <w:color w:val="auto"/>
                <w:w w:val="99"/>
              </w:rPr>
              <w:t>10%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At least 2 years but less than 3 years</w:t>
            </w:r>
          </w:p>
        </w:tc>
        <w:tc>
          <w:tcPr>
            <w:tcW w:w="190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40%</w:t>
            </w:r>
          </w:p>
        </w:tc>
        <w:tc>
          <w:tcPr>
            <w:tcW w:w="200" w:type="dxa"/>
            <w:vAlign w:val="bottom"/>
          </w:tcPr>
          <w:p>
            <w:pPr>
              <w:spacing w:after="0"/>
              <w:rPr>
                <w:sz w:val="23"/>
                <w:szCs w:val="23"/>
                <w:color w:val="auto"/>
              </w:rPr>
            </w:pPr>
          </w:p>
        </w:tc>
        <w:tc>
          <w:tcPr>
            <w:tcW w:w="1300" w:type="dxa"/>
            <w:vAlign w:val="bottom"/>
            <w:gridSpan w:val="2"/>
          </w:tcPr>
          <w:p>
            <w:pPr>
              <w:jc w:val="center"/>
              <w:ind w:left="650"/>
              <w:spacing w:after="0"/>
              <w:rPr>
                <w:sz w:val="20"/>
                <w:szCs w:val="20"/>
                <w:color w:val="auto"/>
              </w:rPr>
            </w:pPr>
            <w:r>
              <w:rPr>
                <w:rFonts w:ascii="Arial" w:cs="Arial" w:eastAsia="Arial" w:hAnsi="Arial"/>
                <w:sz w:val="18"/>
                <w:szCs w:val="18"/>
                <w:color w:val="auto"/>
                <w:w w:val="99"/>
              </w:rPr>
              <w:t>20%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At least 3 years but less than 4 years</w:t>
            </w:r>
          </w:p>
        </w:tc>
        <w:tc>
          <w:tcPr>
            <w:tcW w:w="190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60%</w:t>
            </w:r>
          </w:p>
        </w:tc>
        <w:tc>
          <w:tcPr>
            <w:tcW w:w="200" w:type="dxa"/>
            <w:vAlign w:val="bottom"/>
          </w:tcPr>
          <w:p>
            <w:pPr>
              <w:spacing w:after="0"/>
              <w:rPr>
                <w:sz w:val="23"/>
                <w:szCs w:val="23"/>
                <w:color w:val="auto"/>
              </w:rPr>
            </w:pPr>
          </w:p>
        </w:tc>
        <w:tc>
          <w:tcPr>
            <w:tcW w:w="1300" w:type="dxa"/>
            <w:vAlign w:val="bottom"/>
            <w:gridSpan w:val="2"/>
          </w:tcPr>
          <w:p>
            <w:pPr>
              <w:jc w:val="center"/>
              <w:ind w:left="650"/>
              <w:spacing w:after="0"/>
              <w:rPr>
                <w:sz w:val="20"/>
                <w:szCs w:val="20"/>
                <w:color w:val="auto"/>
              </w:rPr>
            </w:pPr>
            <w:r>
              <w:rPr>
                <w:rFonts w:ascii="Arial" w:cs="Arial" w:eastAsia="Arial" w:hAnsi="Arial"/>
                <w:sz w:val="18"/>
                <w:szCs w:val="18"/>
                <w:color w:val="auto"/>
                <w:w w:val="99"/>
              </w:rPr>
              <w:t>40%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At least 4 years but less than 5 years</w:t>
            </w:r>
          </w:p>
        </w:tc>
        <w:tc>
          <w:tcPr>
            <w:tcW w:w="190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23"/>
                <w:szCs w:val="23"/>
                <w:color w:val="auto"/>
              </w:rPr>
            </w:pPr>
          </w:p>
        </w:tc>
        <w:tc>
          <w:tcPr>
            <w:tcW w:w="1300" w:type="dxa"/>
            <w:vAlign w:val="bottom"/>
            <w:gridSpan w:val="2"/>
          </w:tcPr>
          <w:p>
            <w:pPr>
              <w:jc w:val="center"/>
              <w:ind w:left="650"/>
              <w:spacing w:after="0"/>
              <w:rPr>
                <w:sz w:val="20"/>
                <w:szCs w:val="20"/>
                <w:color w:val="auto"/>
              </w:rPr>
            </w:pPr>
            <w:r>
              <w:rPr>
                <w:rFonts w:ascii="Arial" w:cs="Arial" w:eastAsia="Arial" w:hAnsi="Arial"/>
                <w:sz w:val="18"/>
                <w:szCs w:val="18"/>
                <w:color w:val="auto"/>
                <w:w w:val="99"/>
              </w:rPr>
              <w:t>60%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5 years or more</w:t>
            </w:r>
          </w:p>
        </w:tc>
        <w:tc>
          <w:tcPr>
            <w:tcW w:w="19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100%</w:t>
            </w:r>
          </w:p>
        </w:tc>
        <w:tc>
          <w:tcPr>
            <w:tcW w:w="200" w:type="dxa"/>
            <w:vAlign w:val="bottom"/>
          </w:tcPr>
          <w:p>
            <w:pPr>
              <w:spacing w:after="0"/>
              <w:rPr>
                <w:sz w:val="23"/>
                <w:szCs w:val="23"/>
                <w:color w:val="auto"/>
              </w:rPr>
            </w:pPr>
          </w:p>
        </w:tc>
        <w:tc>
          <w:tcPr>
            <w:tcW w:w="130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100%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Investment Options </w:t>
      </w:r>
      <w:r>
        <w:rPr>
          <w:rFonts w:ascii="Arial" w:cs="Arial" w:eastAsia="Arial" w:hAnsi="Arial"/>
          <w:sz w:val="18"/>
          <w:szCs w:val="18"/>
          <w:color w:val="auto"/>
        </w:rPr>
        <w:t>– Participants may direct the investment of their account balances into any of the various investment options,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HNI Corporation Stock Fund, and the Fidelity BrokerageLink, as well as mutual fund and collective fund options. The Fidelity BrokerageLink is a brokerage account specifically designed for defined contribution plan participants to invest and trade their retirement savings in the investments within the Fidelity Brokerage System that are available through Fidelity's Funds Network.</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Notes Receivable From Participants </w:t>
      </w:r>
      <w:r>
        <w:rPr>
          <w:rFonts w:ascii="Arial" w:cs="Arial" w:eastAsia="Arial" w:hAnsi="Arial"/>
          <w:sz w:val="18"/>
          <w:szCs w:val="18"/>
          <w:color w:val="auto"/>
        </w:rPr>
        <w:t>– A participant may borrow up to the lesser of $50,000 or 50% of his or her vested account 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minimum loan amount of $1,000, from his or her before-tax contribution account, after-tax contribution account, rollover account, matching account and any prior plan account except a prior money purchase account (collectively, “eligible loan accounts”). The loans are secured by the balance in the participant's account. Loans are repaid through payroll deductions over periods up to sixty months (fifteen years in the case of a loan used to acquire a principal residence). The variable interest rate for loans is set at 1% above the prime rate published in the Wall Street Journal as of the first day of the month in which a loan is processed. Loans to participants are included as notes receivable from participants on the statements of net assets available for benefits and are valued at their unpaid principal balance plus any accrued interest, which approximates fair value. Should a participant default on a Plan loan, as defined by the Plan loan policy, the loan would then be considered a distribution. Related fees are recorded as administrative expenses and are expensed when they are incurred. Interest income is recorded on the accrual basis. No allowance for credit losses has been recorded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660"/>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HNI CORPORATION 401(k)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 – Description of the Plan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color w:val="auto"/>
        </w:rPr>
        <w:t>– Upon termination of service due to death, disability, or retirement, a participant may elect to receive either a lump-sum amount equal to the value of the participant's vested interest in his or her account or, if the participant is at least age 55, installment payments. For termination of service due to other reasons, a participant receives the value of the vested interest in his or her account as a lump sum distribution. In-service withdrawals of funds from employee contributions are available for participants experiencing financial hardship and, for participants who have attained age 59½, as defined in the Plan document. The Plan also allows an in-service withdrawal of funds from certain employer contributions after a participant attains the age of 59½ and for participants experiencing financial hardship.</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Recent Legislation </w:t>
      </w:r>
      <w:r>
        <w:rPr>
          <w:rFonts w:ascii="Arial" w:cs="Arial" w:eastAsia="Arial" w:hAnsi="Arial"/>
          <w:sz w:val="18"/>
          <w:szCs w:val="18"/>
          <w:color w:val="auto"/>
        </w:rPr>
        <w:t>– In December 2022, SECURE Act 2.0 (“SECURE 2.0”) was enacted. SECURE 2.0 contains numerous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for retirement plans, plan sponsors, and retirement plan providers. For example, SECURE 2.0 contains provisions related to, among many other things, increasing the required minimum distribution age, reducing required minimum distribution penalties, and removing required minimum distribution barriers for annuities. Many of the provisions in SECURE 2.0 went effective in 2023, but SECURE 2.0 will not be completely implemented until 2027. The Internal Revenue Service (“IRS”) has issued additional guidance addressing specific issues arising from the implementation of the provisions of SECURE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Basis of Accounting </w:t>
      </w:r>
      <w:r>
        <w:rPr>
          <w:rFonts w:ascii="Arial" w:cs="Arial" w:eastAsia="Arial" w:hAnsi="Arial"/>
          <w:sz w:val="18"/>
          <w:szCs w:val="18"/>
          <w:color w:val="auto"/>
        </w:rPr>
        <w:t>– The accompanying financial statements of the Plan have been prepared on an accrual basis, a method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accounting principles generally accepted in the United States of America (“US GAAP”).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 Substantially all of the Plan’s assets were held by the Custodian.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Estimates and Assumptions </w:t>
      </w:r>
      <w:r>
        <w:rPr>
          <w:rFonts w:ascii="Arial" w:cs="Arial" w:eastAsia="Arial" w:hAnsi="Arial"/>
          <w:sz w:val="18"/>
          <w:szCs w:val="18"/>
          <w:color w:val="auto"/>
        </w:rPr>
        <w:t>– The preparation of financial statements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amounts reported in the financial statements and accompanying notes. Actual results could differ from those estimates. 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Investment Valuation and Income Recognition </w:t>
      </w:r>
      <w:r>
        <w:rPr>
          <w:rFonts w:ascii="Arial" w:cs="Arial" w:eastAsia="Arial" w:hAnsi="Arial"/>
          <w:sz w:val="18"/>
          <w:szCs w:val="18"/>
          <w:color w:val="auto"/>
        </w:rPr>
        <w:t>– The Plan's investments are carried at fair value. Fair value is the price that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to sell an asset or paid to transfer a liability in an orderly transaction between market participants at the measurement date. The Administrative and Fund Committee determines the Plan’s valuation policies utilizing information provided by the investment advisors, trustee, and collective fund managers. Purchases and sales of securities are recorded on a trade-date basis. Interest income is recorded on the accrual basis. Dividends are recorded on the ex-dividend date.</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color w:val="auto"/>
        </w:rPr>
        <w:t>– Benefit payments to participants are recorded upon distribution. There were no amounts owed to persons who had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to withdraw from the Plan but had not yet been paid as of December 31, 2025 and 2024.</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Administrative Expenses </w:t>
      </w:r>
      <w:r>
        <w:rPr>
          <w:rFonts w:ascii="Arial" w:cs="Arial" w:eastAsia="Arial" w:hAnsi="Arial"/>
          <w:sz w:val="18"/>
          <w:szCs w:val="18"/>
          <w:color w:val="auto"/>
        </w:rPr>
        <w:t>– Certain administrative expenses are borne by the Plan, while others are paid by the Company. Expenses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paid by the Company are excluded from these financial statements. Fees related to the administration of notes receivable from participants are charged directly to the participant’s account and are included in administrative expenses. Investment related expenses are included in net appreciation or depreciation of fair value of investments.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HNI CORPORATION 401(k) PLAN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Forfeitures </w:t>
      </w:r>
      <w:r>
        <w:rPr>
          <w:rFonts w:ascii="Arial" w:cs="Arial" w:eastAsia="Arial" w:hAnsi="Arial"/>
          <w:sz w:val="18"/>
          <w:szCs w:val="18"/>
          <w:color w:val="auto"/>
        </w:rPr>
        <w:t>– As of December 31, 2025, there were $471,516 of unallocated Plan assets resulting from forfeited participant accounts.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used $260 of forfeitures to offset Plan administrative expenses, and $246,334 to offset Employer contributions for the year ended December 31, 2025. As of December 31, 2024, there were $2,966 of unallocated Plan assets resulting from forfeited participant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 –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Company ownership contributions are directed to the HNI Corporation Stock as non-participant directed contributions. Employer retirement contributions are directed to HNI Corporation Stock by participants, and in the prior year employer profit sharing contributions were also directed to HNI Corporation Stock by participants.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about the net assets and the significant components of the changes in net assets relating to the investments of the HNI Corporation Stock was as follows:</w:t>
      </w:r>
    </w:p>
    <w:p>
      <w:pPr>
        <w:spacing w:after="0" w:line="1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color w:val="auto"/>
              </w:rPr>
              <w:t>December 31,</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
        </w:trPr>
        <w:tc>
          <w:tcPr>
            <w:tcW w:w="5960" w:type="dxa"/>
            <w:vAlign w:val="bottom"/>
            <w:vMerge w:val="restart"/>
          </w:tcPr>
          <w:p>
            <w:pPr>
              <w:spacing w:after="0"/>
              <w:rPr>
                <w:sz w:val="20"/>
                <w:szCs w:val="20"/>
                <w:color w:val="auto"/>
              </w:rPr>
            </w:pPr>
            <w:r>
              <w:rPr>
                <w:rFonts w:ascii="Arial" w:cs="Arial" w:eastAsia="Arial" w:hAnsi="Arial"/>
                <w:sz w:val="18"/>
                <w:szCs w:val="18"/>
                <w:color w:val="auto"/>
              </w:rPr>
              <w:t>HNI Corporation common stock</w:t>
            </w: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960" w:type="dxa"/>
            <w:vAlign w:val="bottom"/>
            <w:vMerge w:val="continue"/>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$84,683,125</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$105,625,358</w:t>
            </w:r>
          </w:p>
        </w:tc>
        <w:tc>
          <w:tcPr>
            <w:tcW w:w="0" w:type="dxa"/>
            <w:vAlign w:val="bottom"/>
          </w:tcPr>
          <w:p>
            <w:pPr>
              <w:spacing w:after="0"/>
              <w:rPr>
                <w:sz w:val="1"/>
                <w:szCs w:val="1"/>
                <w:color w:val="auto"/>
              </w:rPr>
            </w:pPr>
          </w:p>
        </w:tc>
      </w:tr>
      <w:tr>
        <w:trPr>
          <w:trHeight w:val="486"/>
        </w:trPr>
        <w:tc>
          <w:tcPr>
            <w:tcW w:w="5960" w:type="dxa"/>
            <w:vAlign w:val="bottom"/>
          </w:tcPr>
          <w:p>
            <w:pPr>
              <w:spacing w:after="0"/>
              <w:rPr>
                <w:sz w:val="20"/>
                <w:szCs w:val="20"/>
                <w:color w:val="auto"/>
              </w:rPr>
            </w:pPr>
            <w:r>
              <w:rPr>
                <w:rFonts w:ascii="Arial" w:cs="Arial" w:eastAsia="Arial" w:hAnsi="Arial"/>
                <w:sz w:val="18"/>
                <w:szCs w:val="18"/>
                <w:color w:val="auto"/>
              </w:rPr>
              <w:t>Employer contribution receivable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400"/>
              <w:spacing w:after="0"/>
              <w:rPr>
                <w:sz w:val="20"/>
                <w:szCs w:val="20"/>
                <w:color w:val="auto"/>
              </w:rPr>
            </w:pPr>
            <w:r>
              <w:rPr>
                <w:rFonts w:ascii="Arial" w:cs="Arial" w:eastAsia="Arial" w:hAnsi="Arial"/>
                <w:sz w:val="18"/>
                <w:szCs w:val="18"/>
                <w:color w:val="auto"/>
              </w:rPr>
              <w:t>Company ownership contribution</w:t>
            </w:r>
          </w:p>
        </w:tc>
        <w:tc>
          <w:tcPr>
            <w:tcW w:w="1700" w:type="dxa"/>
            <w:vAlign w:val="bottom"/>
          </w:tcPr>
          <w:p>
            <w:pPr>
              <w:jc w:val="right"/>
              <w:spacing w:after="0"/>
              <w:rPr>
                <w:sz w:val="20"/>
                <w:szCs w:val="20"/>
                <w:color w:val="auto"/>
              </w:rPr>
            </w:pPr>
            <w:r>
              <w:rPr>
                <w:rFonts w:ascii="Arial" w:cs="Arial" w:eastAsia="Arial" w:hAnsi="Arial"/>
                <w:sz w:val="18"/>
                <w:szCs w:val="18"/>
                <w:color w:val="auto"/>
              </w:rPr>
              <w:t>4,994,445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3,895,979</w:t>
            </w: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960" w:type="dxa"/>
            <w:vAlign w:val="bottom"/>
          </w:tcPr>
          <w:p>
            <w:pPr>
              <w:ind w:left="240"/>
              <w:spacing w:after="0"/>
              <w:rPr>
                <w:sz w:val="20"/>
                <w:szCs w:val="20"/>
                <w:color w:val="auto"/>
              </w:rPr>
            </w:pPr>
            <w:r>
              <w:rPr>
                <w:rFonts w:ascii="Arial" w:cs="Arial" w:eastAsia="Arial" w:hAnsi="Arial"/>
                <w:sz w:val="18"/>
                <w:szCs w:val="18"/>
                <w:color w:val="auto"/>
              </w:rPr>
              <w:t>Net assets – HNI Corporation stock</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$89,677,570</w:t>
            </w: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$109,521,337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Changes in net assets related to Company Stock consisted of the following for the year ended December 31, 2025:</w:t>
      </w:r>
    </w:p>
    <w:p>
      <w:pPr>
        <w:spacing w:after="0" w:line="104" w:lineRule="exact"/>
        <w:rPr>
          <w:sz w:val="20"/>
          <w:szCs w:val="20"/>
          <w:color w:val="auto"/>
        </w:rPr>
      </w:pPr>
    </w:p>
    <w:tbl>
      <w:tblPr>
        <w:tblLayout w:type="fixed"/>
        <w:tblInd w:w="140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6660" w:type="dxa"/>
            <w:vAlign w:val="bottom"/>
          </w:tcPr>
          <w:p>
            <w:pPr>
              <w:ind w:left="480"/>
              <w:spacing w:after="0"/>
              <w:rPr>
                <w:sz w:val="20"/>
                <w:szCs w:val="20"/>
                <w:color w:val="auto"/>
              </w:rPr>
            </w:pPr>
            <w:r>
              <w:rPr>
                <w:rFonts w:ascii="Arial" w:cs="Arial" w:eastAsia="Arial" w:hAnsi="Arial"/>
                <w:sz w:val="18"/>
                <w:szCs w:val="18"/>
                <w:color w:val="auto"/>
              </w:rPr>
              <w:t>Matching contribution - 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147,799</w:t>
            </w:r>
          </w:p>
        </w:tc>
      </w:tr>
      <w:tr>
        <w:trPr>
          <w:trHeight w:val="270"/>
        </w:trPr>
        <w:tc>
          <w:tcPr>
            <w:tcW w:w="6660" w:type="dxa"/>
            <w:vAlign w:val="bottom"/>
          </w:tcPr>
          <w:p>
            <w:pPr>
              <w:ind w:left="480"/>
              <w:spacing w:after="0"/>
              <w:rPr>
                <w:sz w:val="20"/>
                <w:szCs w:val="20"/>
                <w:color w:val="auto"/>
              </w:rPr>
            </w:pPr>
            <w:r>
              <w:rPr>
                <w:rFonts w:ascii="Arial" w:cs="Arial" w:eastAsia="Arial" w:hAnsi="Arial"/>
                <w:sz w:val="18"/>
                <w:szCs w:val="18"/>
                <w:color w:val="auto"/>
              </w:rPr>
              <w:t>Company ownership non-cash contribution</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4,997,007</w:t>
            </w: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279,789</w:t>
            </w: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Net depreciation in fair value</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(17,280,505)</w:t>
            </w: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Dividends</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2,757,582</w:t>
            </w: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Benefits paid to participants</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(8,836,510)</w:t>
            </w: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(50,778)</w:t>
            </w: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Transfers from Company Stock</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(2,403,555)</w:t>
            </w: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Transfers to Company Stock</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545,404</w:t>
            </w:r>
          </w:p>
        </w:tc>
      </w:tr>
      <w:tr>
        <w:trPr>
          <w:trHeight w:val="23"/>
        </w:trPr>
        <w:tc>
          <w:tcPr>
            <w:tcW w:w="6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66"/>
        </w:trPr>
        <w:tc>
          <w:tcPr>
            <w:tcW w:w="6660" w:type="dxa"/>
            <w:vAlign w:val="bottom"/>
          </w:tcPr>
          <w:p>
            <w:pPr>
              <w:ind w:left="580"/>
              <w:spacing w:after="0"/>
              <w:rPr>
                <w:sz w:val="20"/>
                <w:szCs w:val="20"/>
                <w:color w:val="auto"/>
              </w:rPr>
            </w:pPr>
            <w:r>
              <w:rPr>
                <w:rFonts w:ascii="Arial" w:cs="Arial" w:eastAsia="Arial" w:hAnsi="Arial"/>
                <w:sz w:val="18"/>
                <w:szCs w:val="18"/>
                <w:color w:val="auto"/>
              </w:rPr>
              <w:t>Changes in net assets – HNI Corporation stock</w:t>
            </w: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($19,843,767)</w:t>
            </w: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560"/>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HNI CORPORATION 401(k)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are valued at fair value. Financial Accounting Standards Board ("FASB") Accounting Standards Codification ("ASC") Topic 820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authoritative guidance are described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Fair Value Measurement</w:t>
      </w:r>
    </w:p>
    <w:p>
      <w:pPr>
        <w:spacing w:after="0" w:line="27" w:lineRule="exact"/>
        <w:rPr>
          <w:sz w:val="20"/>
          <w:szCs w:val="20"/>
          <w:color w:val="auto"/>
        </w:rPr>
      </w:pPr>
    </w:p>
    <w:p>
      <w:pPr>
        <w:ind w:left="860" w:right="820" w:hanging="841"/>
        <w:spacing w:after="0" w:line="250" w:lineRule="auto"/>
        <w:tabs>
          <w:tab w:leader="none" w:pos="840" w:val="left"/>
        </w:tabs>
        <w:rPr>
          <w:sz w:val="20"/>
          <w:szCs w:val="20"/>
          <w:color w:val="auto"/>
        </w:rPr>
      </w:pPr>
      <w:r>
        <w:rPr>
          <w:rFonts w:ascii="Arial" w:cs="Arial" w:eastAsia="Arial" w:hAnsi="Arial"/>
          <w:sz w:val="18"/>
          <w:szCs w:val="18"/>
          <w:color w:val="auto"/>
        </w:rPr>
        <w:t>Level 1</w:t>
        <w:tab/>
        <w:t>Inputs to the valuation methodology are unadjusted quoted prices in active markets that are accessible to the Plan at the measurement date for identical, unrestricted assets or liabilities;</w:t>
      </w:r>
    </w:p>
    <w:p>
      <w:pPr>
        <w:spacing w:after="0" w:line="1" w:lineRule="exact"/>
        <w:rPr>
          <w:sz w:val="20"/>
          <w:szCs w:val="20"/>
          <w:color w:val="auto"/>
        </w:rPr>
      </w:pPr>
    </w:p>
    <w:p>
      <w:pPr>
        <w:ind w:left="860" w:right="20" w:hanging="841"/>
        <w:spacing w:after="0" w:line="250" w:lineRule="auto"/>
        <w:tabs>
          <w:tab w:leader="none" w:pos="840" w:val="left"/>
        </w:tabs>
        <w:rPr>
          <w:sz w:val="20"/>
          <w:szCs w:val="20"/>
          <w:color w:val="auto"/>
        </w:rPr>
      </w:pPr>
      <w:r>
        <w:rPr>
          <w:rFonts w:ascii="Arial" w:cs="Arial" w:eastAsia="Arial" w:hAnsi="Arial"/>
          <w:sz w:val="18"/>
          <w:szCs w:val="18"/>
          <w:color w:val="auto"/>
        </w:rPr>
        <w:t>Level 2</w:t>
        <w:tab/>
        <w:t>Inputs other than quoted prices included within Level 1 that are observable for the asset or liability, either directly or indirectly, such as:</w:t>
      </w:r>
    </w:p>
    <w:p>
      <w:pPr>
        <w:spacing w:after="0" w:line="1" w:lineRule="exact"/>
        <w:rPr>
          <w:sz w:val="20"/>
          <w:szCs w:val="20"/>
          <w:color w:val="auto"/>
        </w:rPr>
      </w:pPr>
    </w:p>
    <w:p>
      <w:pPr>
        <w:ind w:left="1540" w:hanging="317"/>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540" w:hanging="317"/>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540" w:hanging="317"/>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rFonts w:ascii="Arial" w:cs="Arial" w:eastAsia="Arial" w:hAnsi="Arial"/>
          <w:sz w:val="18"/>
          <w:szCs w:val="18"/>
          <w:color w:val="auto"/>
        </w:rPr>
      </w:pPr>
    </w:p>
    <w:p>
      <w:pPr>
        <w:ind w:left="1540" w:hanging="317"/>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9" w:lineRule="exact"/>
        <w:rPr>
          <w:sz w:val="20"/>
          <w:szCs w:val="20"/>
          <w:color w:val="auto"/>
        </w:rPr>
      </w:pPr>
    </w:p>
    <w:p>
      <w:pPr>
        <w:ind w:left="900" w:right="20"/>
        <w:spacing w:after="0" w:line="250"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relevant observable inputs and minimize the use of unobservable inputs.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2025 and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stocks: </w:t>
      </w:r>
      <w:r>
        <w:rPr>
          <w:rFonts w:ascii="Arial" w:cs="Arial" w:eastAsia="Arial" w:hAnsi="Arial"/>
          <w:sz w:val="18"/>
          <w:szCs w:val="18"/>
          <w:color w:val="auto"/>
        </w:rPr>
        <w:t>Valued at the closing price reported on the active markets on which the individual securities are traded.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Mutual funds and money market funds: </w:t>
      </w:r>
      <w:r>
        <w:rPr>
          <w:rFonts w:ascii="Arial" w:cs="Arial" w:eastAsia="Arial" w:hAnsi="Arial"/>
          <w:sz w:val="18"/>
          <w:szCs w:val="18"/>
          <w:color w:val="auto"/>
        </w:rPr>
        <w:t>Valued at the daily closing price as reported by the fund. Mutual funds held by the Plan are open-end</w:t>
      </w:r>
      <w:r>
        <w:rPr>
          <w:rFonts w:ascii="Arial" w:cs="Arial" w:eastAsia="Arial" w:hAnsi="Arial"/>
          <w:sz w:val="18"/>
          <w:szCs w:val="18"/>
          <w:i w:val="1"/>
          <w:iCs w:val="1"/>
          <w:color w:val="auto"/>
        </w:rPr>
        <w:t xml:space="preserve"> </w:t>
      </w:r>
      <w:r>
        <w:rPr>
          <w:rFonts w:ascii="Arial" w:cs="Arial" w:eastAsia="Arial" w:hAnsi="Arial"/>
          <w:sz w:val="18"/>
          <w:szCs w:val="18"/>
          <w:color w:val="auto"/>
        </w:rPr>
        <w:t>mutual funds that are registered with the U.S. Securities and Exchange Commission. These funds are required to publish their daily net asset value (“NAV”) and to transact at that price. The mutual funds held by the Plan are deemed to be actively traded.</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Self-directed brokerage accounts: </w:t>
      </w:r>
      <w:r>
        <w:rPr>
          <w:rFonts w:ascii="Arial" w:cs="Arial" w:eastAsia="Arial" w:hAnsi="Arial"/>
          <w:sz w:val="18"/>
          <w:szCs w:val="18"/>
          <w:color w:val="auto"/>
        </w:rPr>
        <w:t>These are participant self-directed investments which consist primarily of common stocks,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and money market funds. The valuation techniques and inputs for each of these investments are described above.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Collective funds: </w:t>
      </w:r>
      <w:r>
        <w:rPr>
          <w:rFonts w:ascii="Arial" w:cs="Arial" w:eastAsia="Arial" w:hAnsi="Arial"/>
          <w:sz w:val="18"/>
          <w:szCs w:val="18"/>
          <w:color w:val="auto"/>
        </w:rPr>
        <w:t>Valued at the NAV of units of the collective fund. The NAV, as provided by the trustee, is used as a practical expedient to</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fair value. The NAV is based on the fair value of the underlying investments held by the fund less its liabilities. This practical expedient is not used when it is determined to be probable that the fund will sell the investment for an amount different than the reported NAV. Participant transactions (purchases and sales) may occur daily. Were the Plan to initiate a full redemption of the collective trust, the investment adviser may reserve the right to temporarily delay withdrawal from the trust in order to ensure that securities liquidations will be carried out in an orderly business manner.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HNI CORPORATION 401(k)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preceding methods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within the fair value hierarchy, the Plan’s fair value measurements as of December 31, 2025 and 2024.</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6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Assets at Fair Value as of December 31, 2025</w:t>
            </w: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7"/>
        </w:trPr>
        <w:tc>
          <w:tcPr>
            <w:tcW w:w="3680" w:type="dxa"/>
            <w:vAlign w:val="bottom"/>
          </w:tcPr>
          <w:p>
            <w:pPr>
              <w:spacing w:after="0"/>
              <w:rPr>
                <w:sz w:val="20"/>
                <w:szCs w:val="20"/>
                <w:color w:val="auto"/>
              </w:rPr>
            </w:pPr>
            <w:r>
              <w:rPr>
                <w:rFonts w:ascii="Arial" w:cs="Arial" w:eastAsia="Arial" w:hAnsi="Arial"/>
                <w:sz w:val="18"/>
                <w:szCs w:val="18"/>
                <w:color w:val="auto"/>
              </w:rPr>
              <w:t>Mutual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194,265,965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gridSpan w:val="3"/>
          </w:tcPr>
          <w:p>
            <w:pPr>
              <w:ind w:left="132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194,265,965</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2,463,331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2,463,331</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Common stocks</w:t>
            </w:r>
          </w:p>
        </w:tc>
        <w:tc>
          <w:tcPr>
            <w:tcW w:w="3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84,683,125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84,683,125</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Self-directed brokerage</w:t>
            </w:r>
          </w:p>
        </w:tc>
        <w:tc>
          <w:tcPr>
            <w:tcW w:w="3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72,755,836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72,755,836</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680" w:type="dxa"/>
            <w:vAlign w:val="bottom"/>
          </w:tcPr>
          <w:p>
            <w:pPr>
              <w:ind w:left="420"/>
              <w:spacing w:after="0"/>
              <w:rPr>
                <w:sz w:val="20"/>
                <w:szCs w:val="20"/>
                <w:color w:val="auto"/>
              </w:rPr>
            </w:pPr>
            <w:r>
              <w:rPr>
                <w:rFonts w:ascii="Arial" w:cs="Arial" w:eastAsia="Arial" w:hAnsi="Arial"/>
                <w:sz w:val="18"/>
                <w:szCs w:val="18"/>
                <w:color w:val="auto"/>
              </w:rPr>
              <w:t>Total assets in the fair value hierarchy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354,168,257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354,168,257</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Investments measured at net asset value (a)</w:t>
            </w: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1,208,912,399</w:t>
            </w:r>
          </w:p>
        </w:tc>
        <w:tc>
          <w:tcPr>
            <w:tcW w:w="0" w:type="dxa"/>
            <w:vAlign w:val="bottom"/>
          </w:tcPr>
          <w:p>
            <w:pPr>
              <w:spacing w:after="0"/>
              <w:rPr>
                <w:sz w:val="1"/>
                <w:szCs w:val="1"/>
                <w:color w:val="auto"/>
              </w:rPr>
            </w:pPr>
          </w:p>
        </w:tc>
      </w:tr>
      <w:tr>
        <w:trPr>
          <w:trHeight w:val="470"/>
        </w:trPr>
        <w:tc>
          <w:tcPr>
            <w:tcW w:w="3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3"/>
        </w:trPr>
        <w:tc>
          <w:tcPr>
            <w:tcW w:w="3680" w:type="dxa"/>
            <w:vAlign w:val="bottom"/>
          </w:tcPr>
          <w:p>
            <w:pPr>
              <w:ind w:left="580"/>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3"/>
          </w:tcPr>
          <w:p>
            <w:pPr>
              <w:ind w:left="15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1,563,080,656</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6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Assets at Fair Value as of December 31, 2024</w:t>
            </w: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7"/>
        </w:trPr>
        <w:tc>
          <w:tcPr>
            <w:tcW w:w="3660" w:type="dxa"/>
            <w:vAlign w:val="bottom"/>
          </w:tcPr>
          <w:p>
            <w:pPr>
              <w:spacing w:after="0"/>
              <w:rPr>
                <w:sz w:val="20"/>
                <w:szCs w:val="20"/>
                <w:color w:val="auto"/>
              </w:rPr>
            </w:pPr>
            <w:r>
              <w:rPr>
                <w:rFonts w:ascii="Arial" w:cs="Arial" w:eastAsia="Arial" w:hAnsi="Arial"/>
                <w:sz w:val="18"/>
                <w:szCs w:val="18"/>
                <w:color w:val="auto"/>
              </w:rPr>
              <w:t>Mutual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163,837,523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gridSpan w:val="3"/>
          </w:tcPr>
          <w:p>
            <w:pPr>
              <w:ind w:left="132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163,837,523</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1,018,031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1,018,031</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Common stocks</w:t>
            </w:r>
          </w:p>
        </w:tc>
        <w:tc>
          <w:tcPr>
            <w:tcW w:w="3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105,625,358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105,625,358</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Self-directed brokerage</w:t>
            </w:r>
          </w:p>
        </w:tc>
        <w:tc>
          <w:tcPr>
            <w:tcW w:w="3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58,434,089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58,434,089</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3660" w:type="dxa"/>
            <w:vAlign w:val="bottom"/>
          </w:tcPr>
          <w:p>
            <w:pPr>
              <w:ind w:left="420"/>
              <w:spacing w:after="0"/>
              <w:rPr>
                <w:sz w:val="20"/>
                <w:szCs w:val="20"/>
                <w:color w:val="auto"/>
              </w:rPr>
            </w:pPr>
            <w:r>
              <w:rPr>
                <w:rFonts w:ascii="Arial" w:cs="Arial" w:eastAsia="Arial" w:hAnsi="Arial"/>
                <w:sz w:val="18"/>
                <w:szCs w:val="18"/>
                <w:color w:val="auto"/>
              </w:rPr>
              <w:t>Total assets in the fair value hierarchy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328,915,001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328,915,001</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Investments measured at net asset value (a)</w:t>
            </w: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764,230,450</w:t>
            </w:r>
          </w:p>
        </w:tc>
        <w:tc>
          <w:tcPr>
            <w:tcW w:w="0" w:type="dxa"/>
            <w:vAlign w:val="bottom"/>
          </w:tcPr>
          <w:p>
            <w:pPr>
              <w:spacing w:after="0"/>
              <w:rPr>
                <w:sz w:val="1"/>
                <w:szCs w:val="1"/>
                <w:color w:val="auto"/>
              </w:rPr>
            </w:pPr>
          </w:p>
        </w:tc>
      </w:tr>
      <w:tr>
        <w:trPr>
          <w:trHeight w:val="470"/>
        </w:trPr>
        <w:tc>
          <w:tcPr>
            <w:tcW w:w="3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4"/>
        </w:trPr>
        <w:tc>
          <w:tcPr>
            <w:tcW w:w="3660" w:type="dxa"/>
            <w:vAlign w:val="bottom"/>
          </w:tcPr>
          <w:p>
            <w:pPr>
              <w:ind w:left="420"/>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3"/>
          </w:tcPr>
          <w:p>
            <w:pPr>
              <w:ind w:left="15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1,093,145,451</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left="340" w:hanging="332"/>
        <w:spacing w:after="0" w:line="268" w:lineRule="auto"/>
        <w:tabs>
          <w:tab w:leader="none" w:pos="33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accordance with FASB ASC Subtopic 820-10, certain investments that were measured at net asset value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HNI CORPORATION 401(k)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asset values and fair values were equal for investments included in the previous tables. Additionally, there were no unfunded commitments to purchase investments at December 31, 2025 and 2024. There are no restrictions on redemption of Plan investments. Commingled funds, including collective investment trusts, and mutual fund investments allow redemptions by the Plan at the end of every business day.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Plan’s practice regarding the timing of transfers between levels is to measure transfers relative to total net assets available for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2025, the Plan had no transfers between Levels 1, 2, or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Federal Income Tax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was fully restated effective January 1, 2022, however, due to IRS guidelines, a determination letter was not applied for nor received for the restated document. The Plan has since been amended; however, the Plan administrator and the Plan’s tax counsel believe that the Plan is currently designed and being operated in compliance with the applicable requirements of the Code and, therefore, the Plan continues to be qualified and the related trust is tax exempt.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GAAP requires Plan management to evaluate tax positions taken by the Plan and recognize a tax liability if the Plan has taken an uncertain position that is more likely than not to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disclosure in the financial statements. The Plan is subject to routine audits by taxing jurisdictions; however, there are currently no audits for any tax periods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 – Plan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would become 100 percent vested in their 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 – Related-Party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2025 and 2024, the Plan held 2,014,252 and 2,096,910 shares, respectively, of the common stock of the Company, with a cost basis of $70,648,557 and $71,344,459 at December 31, 2025 and 2024, respectively. Contributions receivable as of December 31, 2025 and 2024 included $4,994,445 and $3,895,979, respectively, to be put towards the purchase of shares of common stock. During the year ended December 31, 2025, the Plan recorded dividend income of $2,757,582 from Company common stock.</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Plan investments are shares of mutual funds and money market accounts managed by Fidelity Investments Institutional Operations Company, Inc. (“Fidelity”). Fidelity Management Trust Company, a related Fidelity company, is the trustee as defined by the Plan and, therefore, these transactions qualify as party-in-interest transactions. Fees paid by the Plan for the investment management services are included as a reduction of the return earned on each fund.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the Plan issues loans to participants, which are secured by the participant’s account balances. These transactions qualify as party in interest transactions.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560"/>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HNI CORPORATION 401(k)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 – Related-Party Transactions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Fidelity receives revenue from mutual fund and collective trust fund service providers for services Fidelity provides to the funds. This revenue is used to offset certain amounts owed to Fidelity for its administrative services to the Plan. If the revenue received by Fidelity exceeds the amount owed under the Plan, Fidelity remits the excess to the Plan’s trust on a quarterly basis. Such amounts may be applied to pay Plan administrative expenses or allocated to the accounts of the participants.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Certain administrative functions of the Plan are performed by officers or employees of the Company. No such officer or employee receives compensation from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utilizes various investment instruments. The Plan’s investments are exposed to various risks, such as interest rate, market, and credit risks. Due to the level of risk associated with certain investments and the level of uncertainty related to changes in the value of investments, it is at least reasonably possible that changes in risks in the near term would materially affect participants’ account balances and the amounts reported in the statements of net assets available for benefits and the statement of changes in net assets available for benefits.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Plan assets invested in one mutual fund and two target date collective investment income funds representing more than 10% of Net Assets Available for Benefits which totaled $160,693,465 and $577,325,556, respectively. As of December 31, 2024, Plan assets invested in two target date collective investment income funds representing more than 10% of the Net Assets Available for Benefits which totaled $396,090,519.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 – Administration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Plan’s assets are administered under an agreement with Fidelity Management Trust Company, the trustee of the Plan. The trustee invests funds received from contributions, investment sales, interest and dividend income, and makes benefit payments and other distributions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10 – Delinquent Participant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Employer remitted participant deferrals totaling $171,829 to the Trustee later than required by the Department of Labor (“DOL”) Regulation 2510.3-102 during the year ended December 31, 2024 (“Late Remittances”). The DOL considers Late Remittances to be prohibited transactions. The Employer identified late remittances in November 2024 and self-corrected the remittances in January 2025, after the close of the plan year. Participant accounts were credited with the amount of investment income which would have been earned had the participant deferrals been remitted on a timely basis. The related excise taxes were remitted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 –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has evaluated the impact of all subsequent events through June 17, 2026, the date the Plan’s financial statements were issued, and determined that all subsequent events have been appropriately recognized and disclosed 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SUPPLEMENTAL INFORMATION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210820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5" w:name="page16"/>
    <w:bookmarkEnd w:id="15"/>
    <w:p>
      <w:pPr>
        <w:ind w:left="4500"/>
        <w:spacing w:after="0"/>
        <w:rPr>
          <w:sz w:val="20"/>
          <w:szCs w:val="20"/>
          <w:color w:val="auto"/>
        </w:rPr>
      </w:pPr>
      <w:r>
        <w:rPr>
          <w:rFonts w:ascii="Arial" w:cs="Arial" w:eastAsia="Arial" w:hAnsi="Arial"/>
          <w:sz w:val="14"/>
          <w:szCs w:val="14"/>
          <w:b w:val="1"/>
          <w:bCs w:val="1"/>
          <w:color w:val="auto"/>
        </w:rPr>
        <w:t>HNI CORPORATION 401(k) PLAN</w:t>
      </w:r>
    </w:p>
    <w:p>
      <w:pPr>
        <w:spacing w:after="0" w:line="69"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SCHEDULE H, LINE 4i - SCHEDULE OF ASSETS (HELD AT END OF YEAR)</w:t>
      </w:r>
    </w:p>
    <w:p>
      <w:pPr>
        <w:spacing w:after="0" w:line="69"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DECEMBER 31, 2025</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EIN: 42-0617510; PLAN: 001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 w:type="dxa"/>
            <w:vAlign w:val="bottom"/>
          </w:tcPr>
          <w:p>
            <w:pPr>
              <w:spacing w:after="0"/>
              <w:rPr>
                <w:sz w:val="15"/>
                <w:szCs w:val="15"/>
                <w:color w:val="auto"/>
              </w:rPr>
            </w:pPr>
          </w:p>
        </w:tc>
        <w:tc>
          <w:tcPr>
            <w:tcW w:w="1640" w:type="dxa"/>
            <w:vAlign w:val="bottom"/>
          </w:tcPr>
          <w:p>
            <w:pPr>
              <w:jc w:val="center"/>
              <w:ind w:left="148"/>
              <w:spacing w:after="0"/>
              <w:rPr>
                <w:sz w:val="20"/>
                <w:szCs w:val="20"/>
                <w:color w:val="auto"/>
              </w:rPr>
            </w:pPr>
            <w:r>
              <w:rPr>
                <w:rFonts w:ascii="Arial" w:cs="Arial" w:eastAsia="Arial" w:hAnsi="Arial"/>
                <w:sz w:val="14"/>
                <w:szCs w:val="14"/>
                <w:color w:val="auto"/>
              </w:rPr>
              <w:t>(b)</w:t>
            </w:r>
          </w:p>
        </w:tc>
        <w:tc>
          <w:tcPr>
            <w:tcW w:w="6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640" w:type="dxa"/>
            <w:vAlign w:val="bottom"/>
          </w:tcPr>
          <w:p>
            <w:pPr>
              <w:jc w:val="center"/>
              <w:ind w:left="148"/>
              <w:spacing w:after="0"/>
              <w:rPr>
                <w:sz w:val="20"/>
                <w:szCs w:val="20"/>
                <w:color w:val="auto"/>
              </w:rPr>
            </w:pPr>
            <w:r>
              <w:rPr>
                <w:rFonts w:ascii="Arial" w:cs="Arial" w:eastAsia="Arial" w:hAnsi="Arial"/>
                <w:sz w:val="14"/>
                <w:szCs w:val="14"/>
                <w:color w:val="auto"/>
              </w:rPr>
              <w:t>Identity of Issuer/</w:t>
            </w:r>
          </w:p>
        </w:tc>
        <w:tc>
          <w:tcPr>
            <w:tcW w:w="6320" w:type="dxa"/>
            <w:vAlign w:val="bottom"/>
          </w:tcPr>
          <w:p>
            <w:pPr>
              <w:jc w:val="center"/>
              <w:ind w:right="128"/>
              <w:spacing w:after="0"/>
              <w:rPr>
                <w:sz w:val="20"/>
                <w:szCs w:val="20"/>
                <w:color w:val="auto"/>
              </w:rPr>
            </w:pPr>
            <w:r>
              <w:rPr>
                <w:rFonts w:ascii="Arial" w:cs="Arial" w:eastAsia="Arial" w:hAnsi="Arial"/>
                <w:sz w:val="14"/>
                <w:szCs w:val="14"/>
                <w:color w:val="auto"/>
                <w:w w:val="97"/>
              </w:rPr>
              <w:t>(c)</w:t>
            </w:r>
          </w:p>
        </w:tc>
        <w:tc>
          <w:tcPr>
            <w:tcW w:w="1440" w:type="dxa"/>
            <w:vAlign w:val="bottom"/>
            <w:vMerge w:val="restart"/>
          </w:tcPr>
          <w:p>
            <w:pPr>
              <w:ind w:left="440"/>
              <w:spacing w:after="0"/>
              <w:rPr>
                <w:sz w:val="20"/>
                <w:szCs w:val="20"/>
                <w:color w:val="auto"/>
              </w:rPr>
            </w:pPr>
            <w:r>
              <w:rPr>
                <w:rFonts w:ascii="Arial" w:cs="Arial" w:eastAsia="Arial" w:hAnsi="Arial"/>
                <w:sz w:val="14"/>
                <w:szCs w:val="14"/>
                <w:color w:val="auto"/>
              </w:rPr>
              <w:t>(d)</w:t>
            </w:r>
          </w:p>
        </w:tc>
        <w:tc>
          <w:tcPr>
            <w:tcW w:w="1420" w:type="dxa"/>
            <w:vAlign w:val="bottom"/>
            <w:vMerge w:val="restart"/>
          </w:tcPr>
          <w:p>
            <w:pPr>
              <w:jc w:val="right"/>
              <w:ind w:right="608"/>
              <w:spacing w:after="0"/>
              <w:rPr>
                <w:sz w:val="20"/>
                <w:szCs w:val="20"/>
                <w:color w:val="auto"/>
              </w:rPr>
            </w:pPr>
            <w:r>
              <w:rPr>
                <w:rFonts w:ascii="Arial" w:cs="Arial" w:eastAsia="Arial" w:hAnsi="Arial"/>
                <w:sz w:val="14"/>
                <w:szCs w:val="14"/>
                <w:color w:val="auto"/>
              </w:rPr>
              <w:t>(e)</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640" w:type="dxa"/>
            <w:vAlign w:val="bottom"/>
          </w:tcPr>
          <w:p>
            <w:pPr>
              <w:jc w:val="center"/>
              <w:ind w:left="128"/>
              <w:spacing w:after="0"/>
              <w:rPr>
                <w:sz w:val="20"/>
                <w:szCs w:val="20"/>
                <w:color w:val="auto"/>
              </w:rPr>
            </w:pPr>
            <w:r>
              <w:rPr>
                <w:rFonts w:ascii="Arial" w:cs="Arial" w:eastAsia="Arial" w:hAnsi="Arial"/>
                <w:sz w:val="14"/>
                <w:szCs w:val="14"/>
                <w:color w:val="auto"/>
              </w:rPr>
              <w:t>Borrower, Lessor, or</w:t>
            </w:r>
          </w:p>
        </w:tc>
        <w:tc>
          <w:tcPr>
            <w:tcW w:w="6320" w:type="dxa"/>
            <w:vAlign w:val="bottom"/>
          </w:tcPr>
          <w:p>
            <w:pPr>
              <w:jc w:val="center"/>
              <w:ind w:right="128"/>
              <w:spacing w:after="0"/>
              <w:rPr>
                <w:sz w:val="20"/>
                <w:szCs w:val="20"/>
                <w:color w:val="auto"/>
              </w:rPr>
            </w:pPr>
            <w:r>
              <w:rPr>
                <w:rFonts w:ascii="Arial" w:cs="Arial" w:eastAsia="Arial" w:hAnsi="Arial"/>
                <w:sz w:val="14"/>
                <w:szCs w:val="14"/>
                <w:color w:val="auto"/>
              </w:rPr>
              <w:t>Description of Investment Including Maturity Date, Rate of Interest, Collateral, Par or Maturity</w:t>
            </w:r>
          </w:p>
        </w:tc>
        <w:tc>
          <w:tcPr>
            <w:tcW w:w="14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w:t>
            </w:r>
          </w:p>
        </w:tc>
        <w:tc>
          <w:tcPr>
            <w:tcW w:w="16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Similar Party</w:t>
            </w:r>
          </w:p>
        </w:tc>
        <w:tc>
          <w:tcPr>
            <w:tcW w:w="63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Value</w:t>
            </w:r>
          </w:p>
        </w:tc>
        <w:tc>
          <w:tcPr>
            <w:tcW w:w="14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Cost**</w:t>
            </w: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Market Value</w:t>
            </w:r>
          </w:p>
        </w:tc>
        <w:tc>
          <w:tcPr>
            <w:tcW w:w="0" w:type="dxa"/>
            <w:vAlign w:val="bottom"/>
          </w:tcPr>
          <w:p>
            <w:pPr>
              <w:spacing w:after="0"/>
              <w:rPr>
                <w:sz w:val="1"/>
                <w:szCs w:val="1"/>
                <w:color w:val="auto"/>
              </w:rPr>
            </w:pPr>
          </w:p>
        </w:tc>
      </w:tr>
      <w:tr>
        <w:trPr>
          <w:trHeight w:val="840"/>
        </w:trPr>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960" w:type="dxa"/>
            <w:vAlign w:val="bottom"/>
            <w:gridSpan w:val="2"/>
          </w:tcPr>
          <w:p>
            <w:pPr>
              <w:ind w:left="220"/>
              <w:spacing w:after="0"/>
              <w:rPr>
                <w:sz w:val="20"/>
                <w:szCs w:val="20"/>
                <w:color w:val="auto"/>
              </w:rPr>
            </w:pPr>
            <w:r>
              <w:rPr>
                <w:rFonts w:ascii="Arial" w:cs="Arial" w:eastAsia="Arial" w:hAnsi="Arial"/>
                <w:sz w:val="14"/>
                <w:szCs w:val="14"/>
                <w:color w:val="auto"/>
              </w:rPr>
              <w:t>HNI CORPORATION COMMON STOCK RT46, 2,014,252.162 shares</w:t>
            </w:r>
          </w:p>
        </w:tc>
        <w:tc>
          <w:tcPr>
            <w:tcW w:w="1440" w:type="dxa"/>
            <w:vAlign w:val="bottom"/>
          </w:tcPr>
          <w:p>
            <w:pPr>
              <w:ind w:left="420"/>
              <w:spacing w:after="0"/>
              <w:rPr>
                <w:sz w:val="20"/>
                <w:szCs w:val="20"/>
                <w:color w:val="auto"/>
              </w:rPr>
            </w:pPr>
            <w:r>
              <w:rPr>
                <w:rFonts w:ascii="Arial" w:cs="Arial" w:eastAsia="Arial" w:hAnsi="Arial"/>
                <w:sz w:val="14"/>
                <w:szCs w:val="14"/>
                <w:color w:val="auto"/>
              </w:rPr>
              <w:t>$70,648,557</w:t>
            </w:r>
          </w:p>
        </w:tc>
        <w:tc>
          <w:tcPr>
            <w:tcW w:w="1420" w:type="dxa"/>
            <w:vAlign w:val="bottom"/>
          </w:tcPr>
          <w:p>
            <w:pPr>
              <w:jc w:val="right"/>
              <w:spacing w:after="0"/>
              <w:rPr>
                <w:sz w:val="20"/>
                <w:szCs w:val="20"/>
                <w:color w:val="auto"/>
              </w:rPr>
            </w:pPr>
            <w:r>
              <w:rPr>
                <w:rFonts w:ascii="Arial" w:cs="Arial" w:eastAsia="Arial" w:hAnsi="Arial"/>
                <w:sz w:val="14"/>
                <w:szCs w:val="14"/>
                <w:color w:val="auto"/>
              </w:rPr>
              <w:t>$84,683,125</w:t>
            </w:r>
          </w:p>
        </w:tc>
        <w:tc>
          <w:tcPr>
            <w:tcW w:w="0" w:type="dxa"/>
            <w:vAlign w:val="bottom"/>
          </w:tcPr>
          <w:p>
            <w:pPr>
              <w:spacing w:after="0"/>
              <w:rPr>
                <w:sz w:val="1"/>
                <w:szCs w:val="1"/>
                <w:color w:val="auto"/>
              </w:rPr>
            </w:pPr>
          </w:p>
        </w:tc>
      </w:tr>
      <w:tr>
        <w:trPr>
          <w:trHeight w:val="229"/>
        </w:trPr>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960" w:type="dxa"/>
            <w:vAlign w:val="bottom"/>
            <w:gridSpan w:val="2"/>
          </w:tcPr>
          <w:p>
            <w:pPr>
              <w:ind w:left="220"/>
              <w:spacing w:after="0"/>
              <w:rPr>
                <w:sz w:val="20"/>
                <w:szCs w:val="20"/>
                <w:color w:val="auto"/>
              </w:rPr>
            </w:pPr>
            <w:r>
              <w:rPr>
                <w:rFonts w:ascii="Arial" w:cs="Arial" w:eastAsia="Arial" w:hAnsi="Arial"/>
                <w:sz w:val="14"/>
                <w:szCs w:val="14"/>
                <w:color w:val="auto"/>
              </w:rPr>
              <w:t>FIDELITY BROKERAGE LINK</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72,755,836</w:t>
            </w:r>
          </w:p>
        </w:tc>
        <w:tc>
          <w:tcPr>
            <w:tcW w:w="0" w:type="dxa"/>
            <w:vAlign w:val="bottom"/>
          </w:tcPr>
          <w:p>
            <w:pPr>
              <w:spacing w:after="0"/>
              <w:rPr>
                <w:sz w:val="1"/>
                <w:szCs w:val="1"/>
                <w:color w:val="auto"/>
              </w:rPr>
            </w:pPr>
          </w:p>
        </w:tc>
      </w:tr>
      <w:tr>
        <w:trPr>
          <w:trHeight w:val="446"/>
        </w:trPr>
        <w:tc>
          <w:tcPr>
            <w:tcW w:w="420" w:type="dxa"/>
            <w:vAlign w:val="bottom"/>
          </w:tcPr>
          <w:p>
            <w:pPr>
              <w:spacing w:after="0"/>
              <w:rPr>
                <w:sz w:val="24"/>
                <w:szCs w:val="24"/>
                <w:color w:val="auto"/>
              </w:rPr>
            </w:pPr>
          </w:p>
        </w:tc>
        <w:tc>
          <w:tcPr>
            <w:tcW w:w="7960" w:type="dxa"/>
            <w:vAlign w:val="bottom"/>
            <w:gridSpan w:val="2"/>
          </w:tcPr>
          <w:p>
            <w:pPr>
              <w:ind w:left="220"/>
              <w:spacing w:after="0"/>
              <w:rPr>
                <w:sz w:val="20"/>
                <w:szCs w:val="20"/>
                <w:color w:val="auto"/>
              </w:rPr>
            </w:pPr>
            <w:r>
              <w:rPr>
                <w:rFonts w:ascii="Arial" w:cs="Arial" w:eastAsia="Arial" w:hAnsi="Arial"/>
                <w:sz w:val="14"/>
                <w:szCs w:val="14"/>
                <w:color w:val="auto"/>
              </w:rPr>
              <w:t>MUTUAL FUNDS AND MONEY MARKET FUNDS:</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Doubleline Core Fixed Income</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14,934,522</w:t>
            </w:r>
          </w:p>
        </w:tc>
        <w:tc>
          <w:tcPr>
            <w:tcW w:w="0" w:type="dxa"/>
            <w:vAlign w:val="bottom"/>
          </w:tcPr>
          <w:p>
            <w:pPr>
              <w:spacing w:after="0"/>
              <w:rPr>
                <w:sz w:val="1"/>
                <w:szCs w:val="1"/>
                <w:color w:val="auto"/>
              </w:rPr>
            </w:pPr>
          </w:p>
        </w:tc>
      </w:tr>
      <w:tr>
        <w:trPr>
          <w:trHeight w:val="229"/>
        </w:trPr>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Fidelity Cash Reserves</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2,463,331</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AF EuroPac Growth R6</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18,637,978</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Total Stock Market IP</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160,693,465</w:t>
            </w:r>
          </w:p>
        </w:tc>
        <w:tc>
          <w:tcPr>
            <w:tcW w:w="0" w:type="dxa"/>
            <w:vAlign w:val="bottom"/>
          </w:tcPr>
          <w:p>
            <w:pPr>
              <w:spacing w:after="0"/>
              <w:rPr>
                <w:sz w:val="1"/>
                <w:szCs w:val="1"/>
                <w:color w:val="auto"/>
              </w:rPr>
            </w:pPr>
          </w:p>
        </w:tc>
      </w:tr>
      <w:tr>
        <w:trPr>
          <w:trHeight w:val="446"/>
        </w:trPr>
        <w:tc>
          <w:tcPr>
            <w:tcW w:w="420" w:type="dxa"/>
            <w:vAlign w:val="bottom"/>
          </w:tcPr>
          <w:p>
            <w:pPr>
              <w:spacing w:after="0"/>
              <w:rPr>
                <w:sz w:val="24"/>
                <w:szCs w:val="24"/>
                <w:color w:val="auto"/>
              </w:rPr>
            </w:pPr>
          </w:p>
        </w:tc>
        <w:tc>
          <w:tcPr>
            <w:tcW w:w="7960" w:type="dxa"/>
            <w:vAlign w:val="bottom"/>
            <w:gridSpan w:val="2"/>
          </w:tcPr>
          <w:p>
            <w:pPr>
              <w:ind w:left="160"/>
              <w:spacing w:after="0"/>
              <w:rPr>
                <w:sz w:val="20"/>
                <w:szCs w:val="20"/>
                <w:color w:val="auto"/>
              </w:rPr>
            </w:pPr>
            <w:r>
              <w:rPr>
                <w:rFonts w:ascii="Arial" w:cs="Arial" w:eastAsia="Arial" w:hAnsi="Arial"/>
                <w:sz w:val="14"/>
                <w:szCs w:val="14"/>
                <w:color w:val="auto"/>
              </w:rPr>
              <w:t>COMMON COLLECTIVE FUNDS:</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80"/>
              <w:spacing w:after="0"/>
              <w:rPr>
                <w:sz w:val="20"/>
                <w:szCs w:val="20"/>
                <w:color w:val="auto"/>
              </w:rPr>
            </w:pPr>
            <w:r>
              <w:rPr>
                <w:rFonts w:ascii="Arial" w:cs="Arial" w:eastAsia="Arial" w:hAnsi="Arial"/>
                <w:sz w:val="14"/>
                <w:szCs w:val="14"/>
                <w:color w:val="auto"/>
              </w:rPr>
              <w:t>Galliard Stable Return Fund C</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19,932,203</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Inc.</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42,684,783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2020</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113,326,041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2025</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63,553,441</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2030</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330,741,311</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2035</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113,928,882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2040</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246,584,245</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2045</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45,787,677</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2050</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144,130,549</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2055</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26,504,241</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2060</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50,736,713</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2065</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8,044,713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4"/>
                <w:szCs w:val="14"/>
                <w:color w:val="auto"/>
              </w:rPr>
              <w:t>Vanguard Target 2070</w:t>
            </w:r>
          </w:p>
        </w:tc>
        <w:tc>
          <w:tcPr>
            <w:tcW w:w="1440" w:type="dxa"/>
            <w:vAlign w:val="bottom"/>
          </w:tcPr>
          <w:p>
            <w:pPr>
              <w:ind w:left="4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2,957,600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580" w:hanging="392"/>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LOANS TO PARTICIPANTS (maturing from 2026 - 2040,</w:t>
      </w:r>
    </w:p>
    <w:p>
      <w:pPr>
        <w:spacing w:after="0" w:line="2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9600" w:type="dxa"/>
            <w:vAlign w:val="bottom"/>
          </w:tcPr>
          <w:p>
            <w:pPr>
              <w:ind w:left="580"/>
              <w:spacing w:after="0"/>
              <w:rPr>
                <w:sz w:val="20"/>
                <w:szCs w:val="20"/>
                <w:color w:val="auto"/>
              </w:rPr>
            </w:pPr>
            <w:r>
              <w:rPr>
                <w:rFonts w:ascii="Arial" w:cs="Arial" w:eastAsia="Arial" w:hAnsi="Arial"/>
                <w:sz w:val="14"/>
                <w:szCs w:val="14"/>
                <w:color w:val="auto"/>
              </w:rPr>
              <w:t>with interest rates from 4.25% to 10.50%)</w:t>
            </w:r>
          </w:p>
        </w:tc>
        <w:tc>
          <w:tcPr>
            <w:tcW w:w="1560" w:type="dxa"/>
            <w:vAlign w:val="bottom"/>
          </w:tcPr>
          <w:p>
            <w:pPr>
              <w:jc w:val="right"/>
              <w:spacing w:after="0"/>
              <w:rPr>
                <w:sz w:val="20"/>
                <w:szCs w:val="20"/>
                <w:color w:val="auto"/>
              </w:rPr>
            </w:pPr>
            <w:r>
              <w:rPr>
                <w:rFonts w:ascii="Arial" w:cs="Arial" w:eastAsia="Arial" w:hAnsi="Arial"/>
                <w:sz w:val="14"/>
                <w:szCs w:val="14"/>
                <w:color w:val="auto"/>
              </w:rPr>
              <w:t>18,804,628</w:t>
            </w:r>
          </w:p>
        </w:tc>
      </w:tr>
      <w:tr>
        <w:trPr>
          <w:trHeight w:val="439"/>
        </w:trPr>
        <w:tc>
          <w:tcPr>
            <w:tcW w:w="96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426"/>
        </w:trPr>
        <w:tc>
          <w:tcPr>
            <w:tcW w:w="9600" w:type="dxa"/>
            <w:vAlign w:val="bottom"/>
          </w:tcPr>
          <w:p>
            <w:pPr>
              <w:spacing w:after="0"/>
              <w:rPr>
                <w:sz w:val="20"/>
                <w:szCs w:val="20"/>
                <w:color w:val="auto"/>
              </w:rPr>
            </w:pPr>
            <w:r>
              <w:rPr>
                <w:rFonts w:ascii="Arial" w:cs="Arial" w:eastAsia="Arial" w:hAnsi="Arial"/>
                <w:sz w:val="14"/>
                <w:szCs w:val="14"/>
                <w:color w:val="auto"/>
              </w:rPr>
              <w:t>Total assets held at end of year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$1,581,885,284</w:t>
            </w:r>
          </w:p>
        </w:tc>
      </w:tr>
      <w:tr>
        <w:trPr>
          <w:trHeight w:val="20"/>
        </w:trPr>
        <w:tc>
          <w:tcPr>
            <w:tcW w:w="9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00" w:hanging="114"/>
        <w:spacing w:after="0"/>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 party-in-interest to the Plan.</w:t>
      </w:r>
    </w:p>
    <w:p>
      <w:pPr>
        <w:spacing w:after="0" w:line="109" w:lineRule="exact"/>
        <w:rPr>
          <w:rFonts w:ascii="Arial" w:cs="Arial" w:eastAsia="Arial" w:hAnsi="Arial"/>
          <w:sz w:val="14"/>
          <w:szCs w:val="14"/>
          <w:color w:val="auto"/>
        </w:rPr>
      </w:pPr>
    </w:p>
    <w:p>
      <w:pPr>
        <w:ind w:left="240" w:hanging="144"/>
        <w:spacing w:after="0"/>
        <w:tabs>
          <w:tab w:leader="none" w:pos="240" w:val="left"/>
        </w:tabs>
        <w:numPr>
          <w:ilvl w:val="1"/>
          <w:numId w:val="6"/>
        </w:numPr>
        <w:rPr>
          <w:rFonts w:ascii="Arial" w:cs="Arial" w:eastAsia="Arial" w:hAnsi="Arial"/>
          <w:sz w:val="14"/>
          <w:szCs w:val="14"/>
          <w:color w:val="auto"/>
        </w:rPr>
      </w:pPr>
      <w:r>
        <w:rPr>
          <w:rFonts w:ascii="Arial" w:cs="Arial" w:eastAsia="Arial" w:hAnsi="Arial"/>
          <w:sz w:val="14"/>
          <w:szCs w:val="14"/>
          <w:color w:val="auto"/>
        </w:rPr>
        <w:t>Cost not required for participant-directed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line="405" w:lineRule="auto"/>
        <w:rPr>
          <w:sz w:val="20"/>
          <w:szCs w:val="20"/>
          <w:color w:val="auto"/>
        </w:rPr>
      </w:pPr>
      <w:r>
        <w:rPr>
          <w:rFonts w:ascii="Arial" w:cs="Arial" w:eastAsia="Arial" w:hAnsi="Arial"/>
          <w:sz w:val="14"/>
          <w:szCs w:val="14"/>
          <w:color w:val="auto"/>
        </w:rPr>
        <w:t>Plan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-218440</wp:posOffset>
            </wp:positionV>
            <wp:extent cx="10629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HNI CORPORATION 401(k) PLAN</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9"/>
        </w:trPr>
        <w:tc>
          <w:tcPr>
            <w:tcW w:w="772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rPr>
              <w:t>SCHEDULE H, LINE 4a - SCHEDULE OF DELINQUENT PARTICIPANT CONTRIBUTIONS</w:t>
            </w:r>
          </w:p>
        </w:tc>
        <w:tc>
          <w:tcPr>
            <w:tcW w:w="1740" w:type="dxa"/>
            <w:vAlign w:val="bottom"/>
          </w:tcPr>
          <w:p>
            <w:pPr>
              <w:spacing w:after="0"/>
              <w:rPr>
                <w:sz w:val="19"/>
                <w:szCs w:val="19"/>
                <w:color w:val="auto"/>
              </w:rPr>
            </w:pPr>
          </w:p>
        </w:tc>
      </w:tr>
      <w:tr>
        <w:trPr>
          <w:trHeight w:val="230"/>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DECEMBER 31, 2025</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EIN: 42-0617510; PLAN: 001</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66"/>
        </w:trPr>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5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color w:val="auto"/>
              </w:rPr>
              <w:t>Total that Constitute Nonexempt Prohibited Transactions</w:t>
            </w:r>
          </w:p>
        </w:tc>
        <w:tc>
          <w:tcPr>
            <w:tcW w:w="1740" w:type="dxa"/>
            <w:vAlign w:val="bottom"/>
          </w:tcPr>
          <w:p>
            <w:pPr>
              <w:spacing w:after="0"/>
              <w:rPr>
                <w:sz w:val="23"/>
                <w:szCs w:val="23"/>
                <w:color w:val="auto"/>
              </w:rPr>
            </w:pPr>
          </w:p>
        </w:tc>
      </w:tr>
      <w:tr>
        <w:trPr>
          <w:trHeight w:val="153"/>
        </w:trPr>
        <w:tc>
          <w:tcPr>
            <w:tcW w:w="2220" w:type="dxa"/>
            <w:vAlign w:val="bottom"/>
            <w:gridSpan w:val="2"/>
          </w:tcPr>
          <w:p>
            <w:pPr>
              <w:jc w:val="center"/>
              <w:ind w:right="120"/>
              <w:spacing w:after="0" w:line="153" w:lineRule="exact"/>
              <w:rPr>
                <w:sz w:val="20"/>
                <w:szCs w:val="20"/>
                <w:color w:val="auto"/>
              </w:rPr>
            </w:pPr>
            <w:r>
              <w:rPr>
                <w:rFonts w:ascii="Arial" w:cs="Arial" w:eastAsia="Arial" w:hAnsi="Arial"/>
                <w:sz w:val="14"/>
                <w:szCs w:val="14"/>
                <w:color w:val="auto"/>
              </w:rPr>
              <w:t>Check here if late participant</w:t>
            </w: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Contributions not</w:t>
            </w:r>
          </w:p>
        </w:tc>
        <w:tc>
          <w:tcPr>
            <w:tcW w:w="184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Contributions corrected</w:t>
            </w:r>
          </w:p>
        </w:tc>
        <w:tc>
          <w:tcPr>
            <w:tcW w:w="184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Contributions pending</w:t>
            </w:r>
          </w:p>
        </w:tc>
        <w:tc>
          <w:tcPr>
            <w:tcW w:w="1740" w:type="dxa"/>
            <w:vAlign w:val="bottom"/>
          </w:tcPr>
          <w:p>
            <w:pPr>
              <w:jc w:val="center"/>
              <w:spacing w:after="0" w:line="153" w:lineRule="exact"/>
              <w:rPr>
                <w:sz w:val="20"/>
                <w:szCs w:val="20"/>
                <w:color w:val="auto"/>
              </w:rPr>
            </w:pPr>
            <w:r>
              <w:rPr>
                <w:rFonts w:ascii="Arial" w:cs="Arial" w:eastAsia="Arial" w:hAnsi="Arial"/>
                <w:sz w:val="14"/>
                <w:szCs w:val="14"/>
                <w:color w:val="auto"/>
              </w:rPr>
              <w:t>Total fully corrected under</w:t>
            </w:r>
          </w:p>
        </w:tc>
      </w:tr>
      <w:tr>
        <w:trPr>
          <w:trHeight w:val="185"/>
        </w:trPr>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loan repayments are included</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corrected</w:t>
            </w:r>
          </w:p>
        </w:tc>
        <w:tc>
          <w:tcPr>
            <w:tcW w:w="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outside of VFCP</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correction in VFCP</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VFCP and PTE 2002-51</w:t>
            </w:r>
          </w:p>
        </w:tc>
      </w:tr>
      <w:tr>
        <w:trPr>
          <w:trHeight w:val="235"/>
        </w:trPr>
        <w:tc>
          <w:tcPr>
            <w:tcW w:w="21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740" w:type="dxa"/>
            <w:vAlign w:val="bottom"/>
          </w:tcPr>
          <w:p>
            <w:pPr>
              <w:jc w:val="center"/>
              <w:spacing w:after="0"/>
              <w:rPr>
                <w:sz w:val="20"/>
                <w:szCs w:val="20"/>
                <w:color w:val="auto"/>
              </w:rPr>
            </w:pPr>
            <w:r>
              <w:rPr>
                <w:rFonts w:ascii="Arial" w:cs="Arial" w:eastAsia="Arial" w:hAnsi="Arial"/>
                <w:sz w:val="14"/>
                <w:szCs w:val="14"/>
                <w:color w:val="auto"/>
              </w:rPr>
              <w:t>171,829</w:t>
            </w:r>
          </w:p>
        </w:tc>
        <w:tc>
          <w:tcPr>
            <w:tcW w:w="100" w:type="dxa"/>
            <w:vAlign w:val="bottom"/>
          </w:tcPr>
          <w:p>
            <w:pPr>
              <w:spacing w:after="0"/>
              <w:rPr>
                <w:sz w:val="20"/>
                <w:szCs w:val="20"/>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74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290" w:lineRule="exact"/>
        <w:rPr>
          <w:sz w:val="20"/>
          <w:szCs w:val="20"/>
          <w:color w:val="auto"/>
        </w:rPr>
      </w:pPr>
    </w:p>
    <w:p>
      <w:pPr>
        <w:sectPr>
          <w:pgSz w:w="11900" w:h="16838" w:orient="portrait"/>
          <w:cols w:equalWidth="0" w:num="2">
            <w:col w:w="1260" w:space="300"/>
            <w:col w:w="9460"/>
          </w:cols>
          <w:pgMar w:left="540" w:top="13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210820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1318"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73"/>
        </w:trPr>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780" w:type="dxa"/>
            <w:vAlign w:val="bottom"/>
          </w:tcPr>
          <w:p>
            <w:pPr>
              <w:ind w:left="1840"/>
              <w:spacing w:after="0"/>
              <w:rPr>
                <w:sz w:val="20"/>
                <w:szCs w:val="20"/>
                <w:color w:val="auto"/>
              </w:rPr>
            </w:pPr>
            <w:r>
              <w:rPr>
                <w:rFonts w:ascii="Arial" w:cs="Arial" w:eastAsia="Arial" w:hAnsi="Arial"/>
                <w:sz w:val="20"/>
                <w:szCs w:val="20"/>
                <w:b w:val="1"/>
                <w:bCs w:val="1"/>
                <w:color w:val="auto"/>
              </w:rPr>
              <w:t>EXHIBIT INDEX</w:t>
            </w:r>
          </w:p>
        </w:tc>
      </w:tr>
      <w:tr>
        <w:trPr>
          <w:trHeight w:val="439"/>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9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1100" w:type="dxa"/>
            <w:vAlign w:val="bottom"/>
          </w:tcPr>
          <w:p>
            <w:pPr>
              <w:spacing w:after="0"/>
              <w:rPr>
                <w:sz w:val="18"/>
                <w:szCs w:val="18"/>
                <w:color w:val="auto"/>
              </w:rPr>
            </w:pPr>
          </w:p>
        </w:tc>
        <w:tc>
          <w:tcPr>
            <w:tcW w:w="57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Consent of FGMK, LLC,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210820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44" w:right="3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20"/>
          <w:szCs w:val="20"/>
          <w:b w:val="1"/>
          <w:bCs w:val="1"/>
          <w:color w:val="auto"/>
        </w:rPr>
        <w:t>SIGNATURE</w:t>
      </w:r>
    </w:p>
    <w:p>
      <w:pPr>
        <w:spacing w:after="0" w:line="28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Pursuant to the requirements of the Securities Exchange Act of 1934, the Administrative and Fund Committee and the trustees have duly caused this annual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HNI Corporation 401(k) Plan</w:t>
      </w:r>
    </w:p>
    <w:p>
      <w:pPr>
        <w:spacing w:after="0" w:line="200" w:lineRule="exact"/>
        <w:rPr>
          <w:sz w:val="20"/>
          <w:szCs w:val="20"/>
          <w:color w:val="auto"/>
        </w:rPr>
      </w:pPr>
    </w:p>
    <w:p>
      <w:pPr>
        <w:spacing w:after="0" w:line="336" w:lineRule="exact"/>
        <w:rPr>
          <w:sz w:val="20"/>
          <w:szCs w:val="20"/>
          <w:color w:val="auto"/>
        </w:rPr>
      </w:pPr>
    </w:p>
    <w:p>
      <w:pPr>
        <w:spacing w:after="0"/>
        <w:tabs>
          <w:tab w:leader="none" w:pos="5120" w:val="left"/>
          <w:tab w:leader="none" w:pos="5820" w:val="left"/>
        </w:tabs>
        <w:rPr>
          <w:sz w:val="20"/>
          <w:szCs w:val="20"/>
          <w:color w:val="auto"/>
        </w:rPr>
      </w:pPr>
      <w:r>
        <w:rPr>
          <w:rFonts w:ascii="Arial" w:cs="Arial" w:eastAsia="Arial" w:hAnsi="Arial"/>
          <w:sz w:val="18"/>
          <w:szCs w:val="18"/>
          <w:color w:val="auto"/>
        </w:rPr>
        <w:t>Date: June 17,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Vincent P.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17780</wp:posOffset>
            </wp:positionV>
            <wp:extent cx="34290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Vincent P. Berger</w:t>
      </w:r>
    </w:p>
    <w:p>
      <w:pPr>
        <w:ind w:left="5840"/>
        <w:spacing w:after="0" w:line="219" w:lineRule="auto"/>
        <w:rPr>
          <w:sz w:val="20"/>
          <w:szCs w:val="20"/>
          <w:color w:val="auto"/>
        </w:rPr>
      </w:pPr>
      <w:r>
        <w:rPr>
          <w:rFonts w:ascii="Arial" w:cs="Arial" w:eastAsia="Arial" w:hAnsi="Arial"/>
          <w:sz w:val="18"/>
          <w:szCs w:val="18"/>
          <w:color w:val="auto"/>
        </w:rPr>
        <w:t>Administrative and Fund Committee Member and</w:t>
      </w:r>
    </w:p>
    <w:p>
      <w:pPr>
        <w:ind w:left="5840"/>
        <w:spacing w:after="0" w:line="203" w:lineRule="auto"/>
        <w:rPr>
          <w:sz w:val="20"/>
          <w:szCs w:val="20"/>
          <w:color w:val="auto"/>
        </w:rPr>
      </w:pPr>
      <w:r>
        <w:rPr>
          <w:rFonts w:ascii="Arial" w:cs="Arial" w:eastAsia="Arial" w:hAnsi="Arial"/>
          <w:sz w:val="18"/>
          <w:szCs w:val="18"/>
          <w:color w:val="auto"/>
        </w:rPr>
        <w:t>Executive Vice President and Chief Financial Officer of HNI</w:t>
      </w:r>
    </w:p>
    <w:p>
      <w:pPr>
        <w:spacing w:after="0" w:line="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20"/>
          </w:cols>
          <w:pgMar w:left="340" w:top="134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consent to the incorporation by reference in Registration Statement No. 333-31366 and 333-168758 of our report dated June 17, 2026, appearing in this Annual Report on Form 11-K of the HNI Corporation 401(k) Plan for the year ended December 31, 2025.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FGMK,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Bannockburn,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17, 2026</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2026-06-17T11:01:14Z</dcterms:created>
  <dcterms:modified xsi:type="dcterms:W3CDTF">2026-06-17T11:01:14Z</dcterms:modified>
</cp:coreProperties>
</file>