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9"/>
        <w:gridCol w:w="331"/>
        <w:gridCol w:w="331"/>
        <w:gridCol w:w="647"/>
        <w:gridCol w:w="643"/>
        <w:gridCol w:w="486"/>
        <w:gridCol w:w="202"/>
        <w:gridCol w:w="202"/>
        <w:gridCol w:w="202"/>
        <w:gridCol w:w="202"/>
        <w:gridCol w:w="202"/>
        <w:gridCol w:w="202"/>
        <w:gridCol w:w="276"/>
        <w:gridCol w:w="202"/>
        <w:gridCol w:w="202"/>
        <w:gridCol w:w="202"/>
        <w:gridCol w:w="202"/>
        <w:gridCol w:w="202"/>
        <w:gridCol w:w="202"/>
        <w:gridCol w:w="202"/>
        <w:gridCol w:w="202"/>
        <w:gridCol w:w="202"/>
        <w:gridCol w:w="202"/>
        <w:gridCol w:w="202"/>
        <w:gridCol w:w="202"/>
        <w:gridCol w:w="202"/>
        <w:gridCol w:w="202"/>
        <w:gridCol w:w="362"/>
        <w:gridCol w:w="282"/>
        <w:gridCol w:w="202"/>
        <w:gridCol w:w="746"/>
        <w:gridCol w:w="746"/>
        <w:gridCol w:w="734"/>
      </w:tblGrid>
      <w:tr>
        <w:trPr/>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br/>
              <w:t>SECURITIES AND EXCHANGE COMMISSION</w:t>
              <w:br/>
              <w:t>Washington, D.C. 20549</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1"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4, 2026</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64"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____________to____________</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1-14225</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44"/>
              </w:rPr>
            </w:pPr>
            <w:r>
              <w:rPr>
                <w:rFonts w:ascii="Times New Roman;serif" w:hAnsi="Times New Roman;serif"/>
                <w:b w:val="false"/>
                <w:color w:val="000000"/>
                <w:sz w:val="44"/>
              </w:rPr>
              <w:t>HNI Corporation</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Iowa</w:t>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42-0617510</w:t>
            </w:r>
          </w:p>
        </w:tc>
      </w:tr>
      <w:tr>
        <w:trPr/>
        <w:tc>
          <w:tcPr>
            <w:tcW w:w="2817"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817" w:type="dxa"/>
            <w:gridSpan w:val="6"/>
            <w:vMerge w:val="continue"/>
            <w:tcBorders/>
            <w:tcMar>
              <w:top w:w="0" w:type="dxa"/>
              <w:left w:w="0" w:type="dxa"/>
              <w:bottom w:w="0" w:type="dxa"/>
              <w:right w:w="0" w:type="dxa"/>
            </w:tcMar>
            <w:vAlign w:val="center"/>
          </w:tcPr>
          <w:p>
            <w:pPr>
              <w:pStyle w:val="Normal"/>
              <w:bidi w:val="0"/>
              <w:jc w:val="left"/>
              <w:rPr/>
            </w:pPr>
            <w:r>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East Second Street</w:t>
            </w:r>
          </w:p>
        </w:tc>
        <w:tc>
          <w:tcPr>
            <w:tcW w:w="2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 Box 1109</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Muscatine</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52761-0071</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272-7400</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81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5162" w:type="dxa"/>
            <w:gridSpan w:val="24"/>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22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81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5162" w:type="dxa"/>
            <w:gridSpan w:val="24"/>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HNI</w:t>
            </w:r>
          </w:p>
        </w:tc>
        <w:tc>
          <w:tcPr>
            <w:tcW w:w="222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0205" w:type="dxa"/>
            <w:gridSpan w:val="3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9164"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color w:val="000000"/>
              </w:rPr>
              <w:t>       ☒                     </w:t>
            </w:r>
            <w:r>
              <w:rPr>
                <w:rFonts w:ascii="Times New Roman;serif" w:hAnsi="Times New Roman;serif"/>
                <w:b w:val="false"/>
                <w:color w:val="000000"/>
                <w:sz w:val="20"/>
              </w:rPr>
              <w:t>No     </w:t>
            </w:r>
            <w:r>
              <w:rPr>
                <w:color w:val="000000"/>
              </w:rPr>
              <w:t>☐</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9164"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color w:val="000000"/>
              </w:rPr>
              <w:t>       ☒                     </w:t>
            </w:r>
            <w:r>
              <w:rPr>
                <w:rFonts w:ascii="Times New Roman;serif" w:hAnsi="Times New Roman;serif"/>
                <w:b w:val="false"/>
                <w:color w:val="000000"/>
                <w:sz w:val="20"/>
              </w:rPr>
              <w:t>No     </w:t>
            </w:r>
            <w:r>
              <w:rPr>
                <w:color w:val="000000"/>
              </w:rPr>
              <w:t>☐</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1212"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8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8"/>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tc>
      </w:tr>
      <w:tr>
        <w:trPr/>
        <w:tc>
          <w:tcPr>
            <w:tcW w:w="402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12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color w:val="000000"/>
              </w:rPr>
            </w:pPr>
            <w:r>
              <w:rPr>
                <w:color w:val="000000"/>
              </w:rPr>
              <w:t>☐</w:t>
            </w:r>
          </w:p>
        </w:tc>
        <w:tc>
          <w:tcPr>
            <w:tcW w:w="266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No     </w:t>
            </w:r>
            <w:r>
              <w:rPr>
                <w:color w:val="000000"/>
              </w:rPr>
              <w:t>☒</w:t>
            </w:r>
          </w:p>
        </w:tc>
        <w:tc>
          <w:tcPr>
            <w:tcW w:w="22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c>
      </w:tr>
      <w:tr>
        <w:trPr/>
        <w:tc>
          <w:tcPr>
            <w:tcW w:w="28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104"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Outstanding as of</w:t>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4,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72,181,800</w:t>
            </w:r>
          </w:p>
        </w:tc>
      </w:tr>
      <w:tr>
        <w:trPr/>
        <w:tc>
          <w:tcPr>
            <w:tcW w:w="10205" w:type="dxa"/>
            <w:gridSpan w:val="3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0"/>
        <w:gridCol w:w="345"/>
        <w:gridCol w:w="319"/>
        <w:gridCol w:w="2770"/>
        <w:gridCol w:w="2680"/>
        <w:gridCol w:w="2677"/>
        <w:gridCol w:w="320"/>
        <w:gridCol w:w="289"/>
        <w:gridCol w:w="415"/>
      </w:tblGrid>
      <w:tr>
        <w:trPr/>
        <w:tc>
          <w:tcPr>
            <w:tcW w:w="3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6">
              <w:r>
                <w:rPr>
                  <w:rStyle w:val="InternetLink"/>
                  <w:rFonts w:ascii="Times New Roman;serif" w:hAnsi="Times New Roman;serif"/>
                  <w:b w:val="false"/>
                  <w:color w:val="000080"/>
                  <w:sz w:val="20"/>
                  <w:u w:val="single"/>
                </w:rPr>
                <w:t xml:space="preserve">Condensed Consolidated Statements of Comprehensive Income - Three </w:t>
              </w:r>
            </w:hyperlink>
            <w:hyperlink w:anchor="i93efca750ab140eb8839d00dac391773_16">
              <w:r>
                <w:rPr>
                  <w:rStyle w:val="InternetLink"/>
                  <w:rFonts w:ascii="Times New Roman;serif" w:hAnsi="Times New Roman;serif"/>
                  <w:b w:val="false"/>
                  <w:color w:val="000080"/>
                  <w:sz w:val="20"/>
                  <w:u w:val="single"/>
                </w:rPr>
                <w:t xml:space="preserve">and Six </w:t>
              </w:r>
            </w:hyperlink>
            <w:hyperlink w:anchor="i93efca750ab140eb8839d00dac391773_16">
              <w:r>
                <w:rPr>
                  <w:rStyle w:val="InternetLink"/>
                  <w:rFonts w:ascii="Times New Roman;serif" w:hAnsi="Times New Roman;serif"/>
                  <w:b w:val="false"/>
                  <w:color w:val="000080"/>
                  <w:sz w:val="20"/>
                  <w:u w:val="single"/>
                </w:rPr>
                <w:t xml:space="preserve">Months Ended </w:t>
              </w:r>
            </w:hyperlink>
            <w:hyperlink w:anchor="i93efca750ab140eb8839d00dac391773_16">
              <w:r>
                <w:rPr>
                  <w:rStyle w:val="InternetLink"/>
                  <w:rFonts w:ascii="Times New Roman;serif" w:hAnsi="Times New Roman;serif"/>
                  <w:b w:val="false"/>
                  <w:color w:val="000080"/>
                  <w:sz w:val="20"/>
                  <w:u w:val="single"/>
                </w:rPr>
                <w:t>J</w:t>
              </w:r>
            </w:hyperlink>
            <w:hyperlink w:anchor="i93efca750ab140eb8839d00dac391773_16">
              <w:r>
                <w:rPr>
                  <w:rStyle w:val="InternetLink"/>
                  <w:rFonts w:ascii="Times New Roman;serif" w:hAnsi="Times New Roman;serif"/>
                  <w:b w:val="false"/>
                  <w:color w:val="000080"/>
                  <w:sz w:val="20"/>
                  <w:u w:val="single"/>
                </w:rPr>
                <w:t>uly</w:t>
              </w:r>
            </w:hyperlink>
            <w:hyperlink w:anchor="i93efca750ab140eb8839d00dac391773_16">
              <w:r>
                <w:rPr>
                  <w:rStyle w:val="InternetLink"/>
                  <w:rFonts w:ascii="Times New Roman;serif" w:hAnsi="Times New Roman;serif"/>
                  <w:b w:val="false"/>
                  <w:color w:val="000080"/>
                  <w:sz w:val="20"/>
                  <w:u w:val="single"/>
                </w:rPr>
                <w:t xml:space="preserve"> 4, 2026 and </w:t>
              </w:r>
            </w:hyperlink>
            <w:hyperlink w:anchor="i93efca750ab140eb8839d00dac391773_16">
              <w:r>
                <w:rPr>
                  <w:rStyle w:val="InternetLink"/>
                  <w:rFonts w:ascii="Times New Roman;serif" w:hAnsi="Times New Roman;serif"/>
                  <w:b w:val="false"/>
                  <w:color w:val="000080"/>
                  <w:sz w:val="20"/>
                  <w:u w:val="single"/>
                </w:rPr>
                <w:t>June 28, 202</w:t>
              </w:r>
            </w:hyperlink>
            <w:hyperlink w:anchor="i93efca750ab140eb8839d00dac391773_16">
              <w:r>
                <w:rPr>
                  <w:rStyle w:val="InternetLink"/>
                  <w:rFonts w:ascii="Times New Roman;serif" w:hAnsi="Times New Roman;serif"/>
                  <w:b w:val="false"/>
                  <w:color w:val="000080"/>
                  <w:sz w:val="20"/>
                  <w:u w:val="single"/>
                </w:rPr>
                <w:t>5</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6">
              <w:r>
                <w:rPr>
                  <w:rStyle w:val="InternetLink"/>
                  <w:rFonts w:ascii="Times New Roman;serif" w:hAnsi="Times New Roman;serif"/>
                  <w:b w:val="false"/>
                  <w:color w:val="0000FF"/>
                  <w:sz w:val="20"/>
                  <w:u w:val="single"/>
                </w:rPr>
                <w:t>3</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9">
              <w:r>
                <w:rPr>
                  <w:rStyle w:val="InternetLink"/>
                  <w:rFonts w:ascii="Times New Roman;serif" w:hAnsi="Times New Roman;serif"/>
                  <w:b w:val="false"/>
                  <w:color w:val="000080"/>
                  <w:sz w:val="20"/>
                  <w:u w:val="single"/>
                </w:rPr>
                <w:t xml:space="preserve">Condensed Consolidated Balance Sheets - </w:t>
              </w:r>
            </w:hyperlink>
            <w:hyperlink w:anchor="i93efca750ab140eb8839d00dac391773_19">
              <w:r>
                <w:rPr>
                  <w:rStyle w:val="InternetLink"/>
                  <w:rFonts w:ascii="Times New Roman;serif" w:hAnsi="Times New Roman;serif"/>
                  <w:b w:val="false"/>
                  <w:color w:val="000080"/>
                  <w:sz w:val="20"/>
                  <w:u w:val="single"/>
                </w:rPr>
                <w:t>July</w:t>
              </w:r>
            </w:hyperlink>
            <w:hyperlink w:anchor="i93efca750ab140eb8839d00dac391773_19">
              <w:r>
                <w:rPr>
                  <w:rStyle w:val="InternetLink"/>
                  <w:rFonts w:ascii="Times New Roman;serif" w:hAnsi="Times New Roman;serif"/>
                  <w:b w:val="false"/>
                  <w:color w:val="000080"/>
                  <w:sz w:val="20"/>
                  <w:u w:val="single"/>
                </w:rPr>
                <w:t xml:space="preserve"> 4, 2026 and January 3, 2026</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9">
              <w:r>
                <w:rPr>
                  <w:rStyle w:val="InternetLink"/>
                  <w:rFonts w:ascii="Times New Roman;serif" w:hAnsi="Times New Roman;serif"/>
                  <w:b w:val="false"/>
                  <w:color w:val="0000FF"/>
                  <w:sz w:val="20"/>
                  <w:u w:val="single"/>
                </w:rPr>
                <w:t>4</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22">
              <w:r>
                <w:rPr>
                  <w:rStyle w:val="InternetLink"/>
                  <w:rFonts w:ascii="Times New Roman;serif" w:hAnsi="Times New Roman;serif"/>
                  <w:b w:val="false"/>
                  <w:color w:val="000080"/>
                  <w:sz w:val="20"/>
                  <w:u w:val="single"/>
                </w:rPr>
                <w:t xml:space="preserve">Condensed Consolidated Statements of Equity - Three </w:t>
              </w:r>
            </w:hyperlink>
            <w:hyperlink w:anchor="i93efca750ab140eb8839d00dac391773_22">
              <w:r>
                <w:rPr>
                  <w:rStyle w:val="InternetLink"/>
                  <w:rFonts w:ascii="Times New Roman;serif" w:hAnsi="Times New Roman;serif"/>
                  <w:b w:val="false"/>
                  <w:color w:val="000080"/>
                  <w:sz w:val="20"/>
                  <w:u w:val="single"/>
                </w:rPr>
                <w:t xml:space="preserve">and Six </w:t>
              </w:r>
            </w:hyperlink>
            <w:hyperlink w:anchor="i93efca750ab140eb8839d00dac391773_22">
              <w:r>
                <w:rPr>
                  <w:rStyle w:val="InternetLink"/>
                  <w:rFonts w:ascii="Times New Roman;serif" w:hAnsi="Times New Roman;serif"/>
                  <w:b w:val="false"/>
                  <w:color w:val="000080"/>
                  <w:sz w:val="20"/>
                  <w:u w:val="single"/>
                </w:rPr>
                <w:t xml:space="preserve">Months Ended </w:t>
              </w:r>
            </w:hyperlink>
            <w:hyperlink w:anchor="i93efca750ab140eb8839d00dac391773_22">
              <w:r>
                <w:rPr>
                  <w:rStyle w:val="InternetLink"/>
                  <w:rFonts w:ascii="Times New Roman;serif" w:hAnsi="Times New Roman;serif"/>
                  <w:b w:val="false"/>
                  <w:color w:val="000080"/>
                  <w:sz w:val="20"/>
                  <w:u w:val="single"/>
                </w:rPr>
                <w:t>July</w:t>
              </w:r>
            </w:hyperlink>
            <w:hyperlink w:anchor="i93efca750ab140eb8839d00dac391773_22">
              <w:r>
                <w:rPr>
                  <w:rStyle w:val="InternetLink"/>
                  <w:rFonts w:ascii="Times New Roman;serif" w:hAnsi="Times New Roman;serif"/>
                  <w:b w:val="false"/>
                  <w:color w:val="000080"/>
                  <w:sz w:val="20"/>
                  <w:u w:val="single"/>
                </w:rPr>
                <w:t xml:space="preserve"> 4, 2026 and </w:t>
              </w:r>
            </w:hyperlink>
            <w:hyperlink w:anchor="i93efca750ab140eb8839d00dac391773_22">
              <w:r>
                <w:rPr>
                  <w:rStyle w:val="InternetLink"/>
                  <w:rFonts w:ascii="Times New Roman;serif" w:hAnsi="Times New Roman;serif"/>
                  <w:b w:val="false"/>
                  <w:color w:val="000080"/>
                  <w:sz w:val="20"/>
                  <w:u w:val="single"/>
                </w:rPr>
                <w:t>June 28</w:t>
              </w:r>
            </w:hyperlink>
            <w:hyperlink w:anchor="i93efca750ab140eb8839d00dac391773_22">
              <w:r>
                <w:rPr>
                  <w:rStyle w:val="InternetLink"/>
                  <w:rFonts w:ascii="Times New Roman;serif" w:hAnsi="Times New Roman;serif"/>
                  <w:b w:val="false"/>
                  <w:color w:val="000080"/>
                  <w:sz w:val="20"/>
                  <w:u w:val="single"/>
                </w:rPr>
                <w:t>, 2025</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22">
              <w:r>
                <w:rPr>
                  <w:rStyle w:val="InternetLink"/>
                  <w:rFonts w:ascii="Times New Roman;serif" w:hAnsi="Times New Roman;serif"/>
                  <w:b w:val="false"/>
                  <w:color w:val="0000FF"/>
                  <w:sz w:val="20"/>
                  <w:u w:val="single"/>
                </w:rPr>
                <w:t>6</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25">
              <w:r>
                <w:rPr>
                  <w:rStyle w:val="InternetLink"/>
                  <w:rFonts w:ascii="Times New Roman;serif" w:hAnsi="Times New Roman;serif"/>
                  <w:b w:val="false"/>
                  <w:color w:val="000080"/>
                  <w:sz w:val="20"/>
                  <w:u w:val="single"/>
                </w:rPr>
                <w:t xml:space="preserve">Condensed Consolidated Statements of Cash Flows - </w:t>
              </w:r>
            </w:hyperlink>
            <w:hyperlink w:anchor="i93efca750ab140eb8839d00dac391773_25">
              <w:r>
                <w:rPr>
                  <w:rStyle w:val="InternetLink"/>
                  <w:rFonts w:ascii="Times New Roman;serif" w:hAnsi="Times New Roman;serif"/>
                  <w:b w:val="false"/>
                  <w:color w:val="000080"/>
                  <w:sz w:val="20"/>
                  <w:u w:val="single"/>
                </w:rPr>
                <w:t>Six</w:t>
              </w:r>
            </w:hyperlink>
            <w:hyperlink w:anchor="i93efca750ab140eb8839d00dac391773_25">
              <w:r>
                <w:rPr>
                  <w:rStyle w:val="InternetLink"/>
                  <w:rFonts w:ascii="Times New Roman;serif" w:hAnsi="Times New Roman;serif"/>
                  <w:b w:val="false"/>
                  <w:color w:val="000080"/>
                  <w:sz w:val="20"/>
                  <w:u w:val="single"/>
                </w:rPr>
                <w:t xml:space="preserve"> Months Ended </w:t>
              </w:r>
            </w:hyperlink>
            <w:hyperlink w:anchor="i93efca750ab140eb8839d00dac391773_25">
              <w:r>
                <w:rPr>
                  <w:rStyle w:val="InternetLink"/>
                  <w:rFonts w:ascii="Times New Roman;serif" w:hAnsi="Times New Roman;serif"/>
                  <w:b w:val="false"/>
                  <w:color w:val="000080"/>
                  <w:sz w:val="20"/>
                  <w:u w:val="single"/>
                </w:rPr>
                <w:t>July</w:t>
              </w:r>
            </w:hyperlink>
            <w:hyperlink w:anchor="i93efca750ab140eb8839d00dac391773_25">
              <w:r>
                <w:rPr>
                  <w:rStyle w:val="InternetLink"/>
                  <w:rFonts w:ascii="Times New Roman;serif" w:hAnsi="Times New Roman;serif"/>
                  <w:b w:val="false"/>
                  <w:color w:val="000080"/>
                  <w:sz w:val="20"/>
                  <w:u w:val="single"/>
                </w:rPr>
                <w:t xml:space="preserve"> 4, 2026 and </w:t>
              </w:r>
            </w:hyperlink>
            <w:hyperlink w:anchor="i93efca750ab140eb8839d00dac391773_25">
              <w:r>
                <w:rPr>
                  <w:rStyle w:val="InternetLink"/>
                  <w:rFonts w:ascii="Times New Roman;serif" w:hAnsi="Times New Roman;serif"/>
                  <w:b w:val="false"/>
                  <w:color w:val="000080"/>
                  <w:sz w:val="20"/>
                  <w:u w:val="single"/>
                </w:rPr>
                <w:t>June 28</w:t>
              </w:r>
            </w:hyperlink>
            <w:hyperlink w:anchor="i93efca750ab140eb8839d00dac391773_25">
              <w:r>
                <w:rPr>
                  <w:rStyle w:val="InternetLink"/>
                  <w:rFonts w:ascii="Times New Roman;serif" w:hAnsi="Times New Roman;serif"/>
                  <w:b w:val="false"/>
                  <w:color w:val="000080"/>
                  <w:sz w:val="20"/>
                  <w:u w:val="single"/>
                </w:rPr>
                <w:t>, 2025</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25">
              <w:r>
                <w:rPr>
                  <w:rStyle w:val="InternetLink"/>
                  <w:rFonts w:ascii="Times New Roman;serif" w:hAnsi="Times New Roman;serif"/>
                  <w:b w:val="false"/>
                  <w:color w:val="0000FF"/>
                  <w:sz w:val="20"/>
                  <w:u w:val="single"/>
                </w:rPr>
                <w:t>8</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28">
              <w:r>
                <w:rPr>
                  <w:rStyle w:val="InternetLink"/>
                  <w:rFonts w:ascii="Times New Roman;serif" w:hAnsi="Times New Roman;serif"/>
                  <w:b w:val="false"/>
                  <w:color w:val="0000FF"/>
                  <w:sz w:val="20"/>
                  <w:u w:val="single"/>
                </w:rPr>
                <w:t>Notes to Condensed Consolidated Financial Statements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28">
              <w:r>
                <w:rPr>
                  <w:rStyle w:val="InternetLink"/>
                  <w:rFonts w:ascii="Times New Roman;serif" w:hAnsi="Times New Roman;serif"/>
                  <w:b w:val="false"/>
                  <w:color w:val="0000FF"/>
                  <w:sz w:val="20"/>
                  <w:u w:val="single"/>
                </w:rPr>
                <w:t>9</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82">
              <w:r>
                <w:rPr>
                  <w:rStyle w:val="InternetLink"/>
                  <w:rFonts w:ascii="Times New Roman;serif" w:hAnsi="Times New Roman;serif"/>
                  <w:b w:val="false"/>
                  <w:color w:val="0000FF"/>
                  <w:sz w:val="20"/>
                  <w:u w:val="single"/>
                </w:rPr>
                <w:t>30</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30">
              <w:r>
                <w:rPr>
                  <w:rStyle w:val="InternetLink"/>
                  <w:rFonts w:ascii="Times New Roman;serif" w:hAnsi="Times New Roman;serif"/>
                  <w:b w:val="false"/>
                  <w:color w:val="0000FF"/>
                  <w:sz w:val="20"/>
                  <w:u w:val="single"/>
                </w:rPr>
                <w:t>Quantitative and Qualitative Disclosures About Market Risk</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30">
              <w:r>
                <w:rPr>
                  <w:rStyle w:val="InternetLink"/>
                  <w:rFonts w:ascii="Times New Roman;serif" w:hAnsi="Times New Roman;serif"/>
                  <w:b w:val="false"/>
                  <w:color w:val="0000FF"/>
                  <w:sz w:val="20"/>
                  <w:u w:val="single"/>
                </w:rPr>
                <w:t>37</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33">
              <w:r>
                <w:rPr>
                  <w:rStyle w:val="InternetLink"/>
                  <w:rFonts w:ascii="Times New Roman;serif" w:hAnsi="Times New Roman;serif"/>
                  <w:b w:val="false"/>
                  <w:color w:val="0000FF"/>
                  <w:sz w:val="20"/>
                  <w:u w:val="single"/>
                </w:rPr>
                <w:t>Controls and Procedures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33">
              <w:r>
                <w:rPr>
                  <w:rStyle w:val="InternetLink"/>
                  <w:rFonts w:ascii="Times New Roman;serif" w:hAnsi="Times New Roman;serif"/>
                  <w:b w:val="false"/>
                  <w:color w:val="0000FF"/>
                  <w:sz w:val="20"/>
                  <w:u w:val="single"/>
                </w:rPr>
                <w:t>37</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  OTHER INFORMATION</w:t>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39">
              <w:r>
                <w:rPr>
                  <w:rStyle w:val="InternetLink"/>
                  <w:rFonts w:ascii="Times New Roman;serif" w:hAnsi="Times New Roman;serif"/>
                  <w:b w:val="false"/>
                  <w:color w:val="0000FF"/>
                  <w:sz w:val="20"/>
                  <w:u w:val="single"/>
                </w:rPr>
                <w:t>Legal Proceedings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39">
              <w:r>
                <w:rPr>
                  <w:rStyle w:val="InternetLink"/>
                  <w:rFonts w:ascii="Times New Roman;serif" w:hAnsi="Times New Roman;serif"/>
                  <w:b w:val="false"/>
                  <w:color w:val="0000FF"/>
                  <w:sz w:val="20"/>
                  <w:u w:val="single"/>
                </w:rPr>
                <w:t>38</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42">
              <w:r>
                <w:rPr>
                  <w:rStyle w:val="InternetLink"/>
                  <w:rFonts w:ascii="Times New Roman;serif" w:hAnsi="Times New Roman;serif"/>
                  <w:b w:val="false"/>
                  <w:color w:val="0000FF"/>
                  <w:sz w:val="20"/>
                  <w:u w:val="single"/>
                </w:rPr>
                <w:t>Risk Factors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42">
              <w:r>
                <w:rPr>
                  <w:rStyle w:val="InternetLink"/>
                  <w:rFonts w:ascii="Times New Roman;serif" w:hAnsi="Times New Roman;serif"/>
                  <w:b w:val="false"/>
                  <w:color w:val="0000FF"/>
                  <w:sz w:val="20"/>
                  <w:u w:val="single"/>
                </w:rPr>
                <w:t>38</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45">
              <w:r>
                <w:rPr>
                  <w:rStyle w:val="InternetLink"/>
                  <w:rFonts w:ascii="Times New Roman;serif" w:hAnsi="Times New Roman;serif"/>
                  <w:b w:val="false"/>
                  <w:color w:val="0000FF"/>
                  <w:sz w:val="20"/>
                  <w:u w:val="single"/>
                </w:rPr>
                <w:t>Unregistered Sales of Equity Securities and Use of Proceeds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45">
              <w:r>
                <w:rPr>
                  <w:rStyle w:val="InternetLink"/>
                  <w:rFonts w:ascii="Times New Roman;serif" w:hAnsi="Times New Roman;serif"/>
                  <w:b w:val="false"/>
                  <w:color w:val="0000FF"/>
                  <w:sz w:val="20"/>
                  <w:u w:val="single"/>
                </w:rPr>
                <w:t>38</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81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93efca750ab140eb8839d00dac391773_148">
              <w:r>
                <w:rPr>
                  <w:rStyle w:val="InternetLink"/>
                  <w:rFonts w:ascii="Times New Roman;serif" w:hAnsi="Times New Roman;serif"/>
                  <w:b w:val="false"/>
                  <w:color w:val="0000FF"/>
                  <w:sz w:val="20"/>
                  <w:u w:val="single"/>
                </w:rPr>
                <w:t>Other Information</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48">
              <w:r>
                <w:rPr>
                  <w:rStyle w:val="InternetLink"/>
                  <w:rFonts w:ascii="Times New Roman;serif" w:hAnsi="Times New Roman;serif"/>
                  <w:b w:val="false"/>
                  <w:color w:val="0000FF"/>
                  <w:sz w:val="20"/>
                  <w:u w:val="single"/>
                </w:rPr>
                <w:t>38</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3efca750ab140eb8839d00dac391773_154">
              <w:r>
                <w:rPr>
                  <w:rStyle w:val="InternetLink"/>
                  <w:rFonts w:ascii="Times New Roman;serif" w:hAnsi="Times New Roman;serif"/>
                  <w:b w:val="false"/>
                  <w:color w:val="0000FF"/>
                  <w:sz w:val="20"/>
                  <w:u w:val="single"/>
                </w:rPr>
                <w:t>Exhibits</w:t>
              </w:r>
            </w:hyperlink>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54">
              <w:r>
                <w:rPr>
                  <w:rStyle w:val="InternetLink"/>
                  <w:rFonts w:ascii="Times New Roman;serif" w:hAnsi="Times New Roman;serif"/>
                  <w:b w:val="false"/>
                  <w:color w:val="0000FF"/>
                  <w:sz w:val="20"/>
                  <w:u w:val="single"/>
                </w:rPr>
                <w:t>39</w:t>
              </w:r>
            </w:hyperlink>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3efca750ab140eb8839d00dac391773_157">
              <w:r>
                <w:rPr>
                  <w:rStyle w:val="InternetLink"/>
                  <w:rFonts w:ascii="Times New Roman;serif" w:hAnsi="Times New Roman;serif"/>
                  <w:b w:val="false"/>
                  <w:color w:val="0000FF"/>
                  <w:sz w:val="20"/>
                  <w:u w:val="single"/>
                </w:rPr>
                <w:t>Signatures</w:t>
              </w:r>
            </w:hyperlink>
          </w:p>
        </w:tc>
        <w:tc>
          <w:tcPr>
            <w:tcW w:w="8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3efca750ab140eb8839d00dac391773_157">
              <w:r>
                <w:rPr>
                  <w:rStyle w:val="InternetLink"/>
                  <w:rFonts w:ascii="Times New Roman;serif" w:hAnsi="Times New Roman;serif"/>
                  <w:b w:val="false"/>
                  <w:color w:val="0000FF"/>
                  <w:sz w:val="20"/>
                  <w:u w:val="singl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150"/>
        <w:gridCol w:w="1406"/>
        <w:gridCol w:w="1428"/>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215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HNI Corporation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 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HNI Corporation per common share – basic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 diluted</w:t>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HNI Corporation per common share –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on marketable securities,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pension and post-retirement liability,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 financial instruments,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HNI Corporation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6623" w:type="dxa"/>
        <w:jc w:val="left"/>
        <w:tblInd w:w="0" w:type="dxa"/>
        <w:tblLayout w:type="fixed"/>
        <w:tblCellMar>
          <w:top w:w="28" w:type="dxa"/>
          <w:left w:w="28" w:type="dxa"/>
          <w:bottom w:w="28" w:type="dxa"/>
          <w:right w:w="28" w:type="dxa"/>
        </w:tblCellMar>
      </w:tblPr>
      <w:tblGrid>
        <w:gridCol w:w="1264"/>
        <w:gridCol w:w="1115"/>
        <w:gridCol w:w="1130"/>
        <w:gridCol w:w="258"/>
        <w:gridCol w:w="939"/>
        <w:gridCol w:w="133"/>
        <w:gridCol w:w="133"/>
        <w:gridCol w:w="133"/>
        <w:gridCol w:w="133"/>
        <w:gridCol w:w="258"/>
        <w:gridCol w:w="939"/>
        <w:gridCol w:w="188"/>
      </w:tblGrid>
      <w:tr>
        <w:trPr/>
        <w:tc>
          <w:tcPr>
            <w:tcW w:w="126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623"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HNI Corporation and Subsidiaries</w:t>
            </w:r>
            <w:r>
              <w:rPr>
                <w:rFonts w:ascii="Times New Roman;serif" w:hAnsi="Times New Roman;serif"/>
                <w:b/>
                <w:color w:val="000000"/>
                <w:sz w:val="20"/>
              </w:rPr>
              <w:br/>
              <w:t>Condensed Consolidated Balance Sheets</w:t>
            </w:r>
            <w:r>
              <w:rPr>
                <w:rFonts w:ascii="Times New Roman;serif" w:hAnsi="Times New Roman;serif"/>
                <w:b w:val="false"/>
                <w:color w:val="000000"/>
                <w:sz w:val="20"/>
              </w:rPr>
              <w:br/>
              <w:t xml:space="preserve">(In millions) </w:t>
            </w:r>
          </w:p>
        </w:tc>
      </w:tr>
      <w:tr>
        <w:trPr/>
        <w:tc>
          <w:tcPr>
            <w:tcW w:w="662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 Finance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 Operating Leases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7194" w:type="dxa"/>
        <w:jc w:val="left"/>
        <w:tblInd w:w="0" w:type="dxa"/>
        <w:tblLayout w:type="fixed"/>
        <w:tblCellMar>
          <w:top w:w="28" w:type="dxa"/>
          <w:left w:w="28" w:type="dxa"/>
          <w:bottom w:w="28" w:type="dxa"/>
          <w:right w:w="28" w:type="dxa"/>
        </w:tblCellMar>
      </w:tblPr>
      <w:tblGrid>
        <w:gridCol w:w="1479"/>
        <w:gridCol w:w="1296"/>
        <w:gridCol w:w="1305"/>
        <w:gridCol w:w="258"/>
        <w:gridCol w:w="939"/>
        <w:gridCol w:w="133"/>
        <w:gridCol w:w="133"/>
        <w:gridCol w:w="133"/>
        <w:gridCol w:w="133"/>
        <w:gridCol w:w="258"/>
        <w:gridCol w:w="939"/>
        <w:gridCol w:w="188"/>
      </w:tblGrid>
      <w:tr>
        <w:trPr/>
        <w:tc>
          <w:tcPr>
            <w:tcW w:w="147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9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71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other long-term obligations</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Finance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Operating</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Finance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Operating</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HNI Corporation shareholders’ equity</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7"/>
        <w:gridCol w:w="457"/>
        <w:gridCol w:w="298"/>
        <w:gridCol w:w="219"/>
        <w:gridCol w:w="531"/>
        <w:gridCol w:w="114"/>
        <w:gridCol w:w="109"/>
        <w:gridCol w:w="109"/>
        <w:gridCol w:w="109"/>
        <w:gridCol w:w="215"/>
        <w:gridCol w:w="781"/>
        <w:gridCol w:w="111"/>
        <w:gridCol w:w="109"/>
        <w:gridCol w:w="109"/>
        <w:gridCol w:w="109"/>
        <w:gridCol w:w="213"/>
        <w:gridCol w:w="624"/>
        <w:gridCol w:w="110"/>
        <w:gridCol w:w="109"/>
        <w:gridCol w:w="109"/>
        <w:gridCol w:w="109"/>
        <w:gridCol w:w="408"/>
        <w:gridCol w:w="814"/>
        <w:gridCol w:w="211"/>
        <w:gridCol w:w="109"/>
        <w:gridCol w:w="109"/>
        <w:gridCol w:w="109"/>
        <w:gridCol w:w="417"/>
        <w:gridCol w:w="803"/>
        <w:gridCol w:w="216"/>
        <w:gridCol w:w="109"/>
        <w:gridCol w:w="109"/>
        <w:gridCol w:w="109"/>
        <w:gridCol w:w="238"/>
        <w:gridCol w:w="867"/>
        <w:gridCol w:w="186"/>
      </w:tblGrid>
      <w:tr>
        <w:trPr/>
        <w:tc>
          <w:tcPr>
            <w:tcW w:w="7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HNI Corporation and Subsidiaries</w:t>
              <w:br/>
            </w: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Consolidated Statements of Equity</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July 4, 2026</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4, 2026</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0.35 per share</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4, 2026</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July 4, 2026</w:t>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3, 2026</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0.69 per share</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4, 2026</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1,805.2 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36"/>
        <w:gridCol w:w="394"/>
        <w:gridCol w:w="310"/>
        <w:gridCol w:w="220"/>
        <w:gridCol w:w="533"/>
        <w:gridCol w:w="114"/>
        <w:gridCol w:w="109"/>
        <w:gridCol w:w="109"/>
        <w:gridCol w:w="109"/>
        <w:gridCol w:w="230"/>
        <w:gridCol w:w="673"/>
        <w:gridCol w:w="119"/>
        <w:gridCol w:w="109"/>
        <w:gridCol w:w="109"/>
        <w:gridCol w:w="109"/>
        <w:gridCol w:w="214"/>
        <w:gridCol w:w="627"/>
        <w:gridCol w:w="110"/>
        <w:gridCol w:w="109"/>
        <w:gridCol w:w="109"/>
        <w:gridCol w:w="109"/>
        <w:gridCol w:w="413"/>
        <w:gridCol w:w="824"/>
        <w:gridCol w:w="214"/>
        <w:gridCol w:w="109"/>
        <w:gridCol w:w="109"/>
        <w:gridCol w:w="109"/>
        <w:gridCol w:w="418"/>
        <w:gridCol w:w="806"/>
        <w:gridCol w:w="217"/>
        <w:gridCol w:w="109"/>
        <w:gridCol w:w="109"/>
        <w:gridCol w:w="109"/>
        <w:gridCol w:w="276"/>
        <w:gridCol w:w="808"/>
        <w:gridCol w:w="214"/>
      </w:tblGrid>
      <w:tr>
        <w:trPr/>
        <w:tc>
          <w:tcPr>
            <w:tcW w:w="8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HNI Corporation and Subsidiaries</w:t>
              <w:br/>
            </w:r>
            <w:r>
              <w:rPr>
                <w:rFonts w:ascii="Times New Roman;serif" w:hAnsi="Times New Roman;serif"/>
                <w:b/>
                <w:color w:val="000000"/>
                <w:sz w:val="20"/>
              </w:rPr>
              <w:t>Condensed</w:t>
            </w:r>
            <w:r>
              <w:rPr>
                <w:color w:val="000000"/>
              </w:rPr>
              <w:t xml:space="preserve"> </w:t>
            </w:r>
            <w:r>
              <w:rPr>
                <w:rFonts w:ascii="Times New Roman;serif" w:hAnsi="Times New Roman;serif"/>
                <w:b/>
                <w:color w:val="000000"/>
                <w:sz w:val="20"/>
              </w:rPr>
              <w:t>Consolidated Statements of Equity</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June 28, 2025</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29, 2025</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for non-controlling interest</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$0.34 per share</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28, 2025</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June 28, 2025</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28, 2024</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non-controlling interest</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$0.67 per share</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 treasury:</w:t>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Members’ Stock Purchase Plan and stock awards, net of tax</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28, 2025</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4"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9393" w:type="dxa"/>
        <w:jc w:val="left"/>
        <w:tblInd w:w="0" w:type="dxa"/>
        <w:tblLayout w:type="fixed"/>
        <w:tblCellMar>
          <w:top w:w="28" w:type="dxa"/>
          <w:left w:w="28" w:type="dxa"/>
          <w:bottom w:w="28" w:type="dxa"/>
          <w:right w:w="28" w:type="dxa"/>
        </w:tblCellMar>
      </w:tblPr>
      <w:tblGrid>
        <w:gridCol w:w="2029"/>
        <w:gridCol w:w="1777"/>
        <w:gridCol w:w="1789"/>
        <w:gridCol w:w="375"/>
        <w:gridCol w:w="1095"/>
        <w:gridCol w:w="193"/>
        <w:gridCol w:w="193"/>
        <w:gridCol w:w="193"/>
        <w:gridCol w:w="193"/>
        <w:gridCol w:w="375"/>
        <w:gridCol w:w="908"/>
        <w:gridCol w:w="273"/>
      </w:tblGrid>
      <w:tr>
        <w:trPr/>
        <w:tc>
          <w:tcPr>
            <w:tcW w:w="202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39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93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Operating Activities:</w:t>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 included in net income:</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post-retirement and post-employment benefits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subsidiary</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from operating assets and liabilities:</w:t>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liabilities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operating activities</w:t>
            </w:r>
          </w:p>
        </w:tc>
        <w:tc>
          <w:tcPr>
            <w:tcW w:w="14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Investing Activities:</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or maturities of investments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subsidiary</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 Unconsolidated Affiliate Purchases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 Unconsolidated Affiliate Proceeds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investing activities</w:t>
            </w:r>
          </w:p>
        </w:tc>
        <w:tc>
          <w:tcPr>
            <w:tcW w:w="14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Financing Activities:</w:t>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HNI Corporation common stock</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HNI Corporation common stock</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Withholding related to net share settlements of equity based awards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(to) financing activities</w:t>
            </w:r>
          </w:p>
        </w:tc>
        <w:tc>
          <w:tcPr>
            <w:tcW w:w="14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at end of period </w:t>
            </w:r>
            <w:r>
              <w:rPr>
                <w:rFonts w:ascii="Times New Roman;serif" w:hAnsi="Times New Roman;serif"/>
                <w:b w:val="false"/>
                <w:color w:val="000000"/>
                <w:sz w:val="13"/>
              </w:rPr>
              <w:t>(1)</w:t>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 xml:space="preserve">(1) Restricted cash as of </w:t>
      </w:r>
      <w:r>
        <w:rPr>
          <w:rFonts w:ascii="Times New Roman;serif" w:hAnsi="Times New Roman;serif"/>
          <w:b w:val="false"/>
          <w:color w:val="000000"/>
          <w:sz w:val="16"/>
        </w:rPr>
        <w:t>July 4, 2026</w:t>
      </w:r>
      <w:r>
        <w:rPr>
          <w:color w:val="000000"/>
        </w:rPr>
        <w:t xml:space="preserve"> </w:t>
      </w:r>
      <w:r>
        <w:rPr>
          <w:rFonts w:ascii="Times New Roman;serif" w:hAnsi="Times New Roman;serif"/>
          <w:b w:val="false"/>
          <w:i/>
          <w:color w:val="000000"/>
          <w:sz w:val="16"/>
        </w:rPr>
        <w:t xml:space="preserve">and </w:t>
      </w:r>
      <w:r>
        <w:rPr>
          <w:rFonts w:ascii="Times New Roman;serif" w:hAnsi="Times New Roman;serif"/>
          <w:b w:val="false"/>
          <w:color w:val="000000"/>
          <w:sz w:val="16"/>
        </w:rPr>
        <w:t>June 28, 2025</w:t>
      </w:r>
      <w:r>
        <w:rPr>
          <w:color w:val="000000"/>
        </w:rPr>
        <w:t xml:space="preserve"> </w:t>
      </w:r>
      <w:r>
        <w:rPr>
          <w:rFonts w:ascii="Times New Roman;serif" w:hAnsi="Times New Roman;serif"/>
          <w:b w:val="false"/>
          <w:i/>
          <w:color w:val="000000"/>
          <w:sz w:val="16"/>
        </w:rPr>
        <w:t xml:space="preserve">was </w:t>
      </w:r>
      <w:r>
        <w:rPr>
          <w:rFonts w:ascii="Times New Roman;serif" w:hAnsi="Times New Roman;serif"/>
          <w:b w:val="false"/>
          <w:color w:val="000000"/>
          <w:sz w:val="16"/>
        </w:rPr>
        <w:t>$7.7 million</w:t>
      </w:r>
      <w:r>
        <w:rPr>
          <w:color w:val="000000"/>
        </w:rPr>
        <w:t xml:space="preserve"> </w:t>
      </w:r>
      <w:r>
        <w:rPr>
          <w:rFonts w:ascii="Times New Roman;serif" w:hAnsi="Times New Roman;serif"/>
          <w:b w:val="false"/>
          <w:i/>
          <w:color w:val="000000"/>
          <w:sz w:val="16"/>
        </w:rPr>
        <w:t xml:space="preserve">and </w:t>
      </w:r>
      <w:r>
        <w:rPr>
          <w:rFonts w:ascii="Times New Roman;serif" w:hAnsi="Times New Roman;serif"/>
          <w:b w:val="false"/>
          <w:color w:val="000000"/>
          <w:sz w:val="16"/>
        </w:rPr>
        <w:t>$2.4 million</w:t>
      </w:r>
      <w:r>
        <w:rPr>
          <w:rFonts w:ascii="Times New Roman;serif" w:hAnsi="Times New Roman;serif"/>
          <w:b w:val="false"/>
          <w:i/>
          <w:color w:val="000000"/>
          <w:sz w:val="16"/>
        </w:rPr>
        <w:t>, respectively, and is included in "Other Assets"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HNI Corporation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HNI Corporation (individually and together with its consolidated subsidiaries, the "Corporation" or "HNI") have been prepared in accordance with generally accepted accounting principles ("GAAP") for interim financial information and with the instructions to Form 10-Q and Article 10 of Regulation S-X. Accordingly, they do not include all of the information and notes required by GAAP for complete financial statements. The January 3, 2026 consolidated balance sheet included in this Form 10-Q was derived from audited financial statements but does not include all disclosures required by GAAP. In the opinion of management, all adjustments (consisting of normal recurring accruals) considered necessary for a fair statement have been included. Operating results for the six-months ended July 4, 2026 are not necessarily indicative of the results expected for the fiscal year ending January 2, 2027 or for any other period. For further information, refer to the consolidated financial statements and accompanying notes included in the Corporation's Annual Report on Form 10-K for the fiscal year ended January 3, 2026 filed with the Securities and Exchange Commission. All dollar amounts presented are in millions, except per share data or where otherwise indicated. Amounts may not sum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the Corporation acquired Steelcase Inc. ("Steelcase"). The Corporation included the financial results of Steelcase in the Condensed Consolidated Financial Statements starting as of the date of acquisition. References to "legacy" HNI businesses in this report exclude the acquisition of Steelcase and its impact on the Corporation's businesses. See "Note 3. Acquisition and Divestitures"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with the financial statements to conform to the current period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Disaggregation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customers disaggregated by product category is as follows:</w:t>
      </w:r>
    </w:p>
    <w:tbl>
      <w:tblPr>
        <w:tblW w:w="7770" w:type="dxa"/>
        <w:jc w:val="left"/>
        <w:tblInd w:w="0" w:type="dxa"/>
        <w:tblLayout w:type="fixed"/>
        <w:tblCellMar>
          <w:top w:w="28" w:type="dxa"/>
          <w:left w:w="28" w:type="dxa"/>
          <w:bottom w:w="28" w:type="dxa"/>
          <w:right w:w="28" w:type="dxa"/>
        </w:tblCellMar>
      </w:tblPr>
      <w:tblGrid>
        <w:gridCol w:w="923"/>
        <w:gridCol w:w="812"/>
        <w:gridCol w:w="815"/>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storage, and tables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workplace furnishings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other category consists of architectural products, workspace accessories, and miscellaneous product lines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by product category are subject to similar economic factors and market conditions. See "Note 14. Reportable Segment Information" for further information about operating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Workplace Furnishings net sales in the current year period was driven by the acquisition of Steelcase in December 2025. See "Note 3. Acquisition and Divestitures" for further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contract liabilities consisting of customer deposits included in "Accounts payable and accrued expenses" in the Condensed Consolidated Balance Sheets as follows:</w:t>
      </w:r>
    </w:p>
    <w:tbl>
      <w:tblPr>
        <w:tblW w:w="5439" w:type="dxa"/>
        <w:jc w:val="left"/>
        <w:tblInd w:w="0" w:type="dxa"/>
        <w:tblLayout w:type="fixed"/>
        <w:tblCellMar>
          <w:top w:w="28" w:type="dxa"/>
          <w:left w:w="28" w:type="dxa"/>
          <w:bottom w:w="28" w:type="dxa"/>
          <w:right w:w="28" w:type="dxa"/>
        </w:tblCellMar>
      </w:tblPr>
      <w:tblGrid>
        <w:gridCol w:w="1194"/>
        <w:gridCol w:w="1050"/>
        <w:gridCol w:w="1056"/>
        <w:gridCol w:w="211"/>
        <w:gridCol w:w="511"/>
        <w:gridCol w:w="109"/>
        <w:gridCol w:w="109"/>
        <w:gridCol w:w="109"/>
        <w:gridCol w:w="109"/>
        <w:gridCol w:w="211"/>
        <w:gridCol w:w="61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Customer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for customer deposits paid to the Corporation prior to the satisfaction of performance obligations are recognized as revenue upon completion of the performance obligations. The contract liability balance related to customer deposits was $102.9 million as of January 3, 2026, of which $87.4 million was recognized as revenue in the six-months ended July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trade receivables, the Corporation has other assets consisting of funds paid up-front to certain workplace furnishings dealers in exchange for their multi-year commitment to market and sell the Corporation’s products. These assets are amortized over the term of the contracts and recognized as a reduction of revenue and are as follows in the Condensed Consolidated Balance Sheets: </w:t>
      </w:r>
    </w:p>
    <w:tbl>
      <w:tblPr>
        <w:tblW w:w="6347" w:type="dxa"/>
        <w:jc w:val="left"/>
        <w:tblInd w:w="0" w:type="dxa"/>
        <w:tblLayout w:type="fixed"/>
        <w:tblCellMar>
          <w:top w:w="28" w:type="dxa"/>
          <w:left w:w="28" w:type="dxa"/>
          <w:bottom w:w="28" w:type="dxa"/>
          <w:right w:w="28" w:type="dxa"/>
        </w:tblCellMar>
      </w:tblPr>
      <w:tblGrid>
        <w:gridCol w:w="1526"/>
        <w:gridCol w:w="1339"/>
        <w:gridCol w:w="1349"/>
        <w:gridCol w:w="211"/>
        <w:gridCol w:w="511"/>
        <w:gridCol w:w="109"/>
        <w:gridCol w:w="109"/>
        <w:gridCol w:w="109"/>
        <w:gridCol w:w="109"/>
        <w:gridCol w:w="235"/>
        <w:gridCol w:w="569"/>
        <w:gridCol w:w="171"/>
      </w:tblGrid>
      <w:tr>
        <w:trPr/>
        <w:tc>
          <w:tcPr>
            <w:tcW w:w="152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 Prepaid expenses and other current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assets in the current year was driven by additional investments in workplace furnishings dealers.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 -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HNI completed its acquisition of Steelcase, a global design and furniture manufacturing company that maintains its principal office in Grand Rapids, Michigan. As a result of the acquisition, Steelcase became a wholly-owned subsidiary of HNI and is part of the Workplace Furnishings segment. The transaction involved payment of total fair market value consideration of approximately $1.9 billion, including total cash consideration of $864.5 million, share consideration valued at $1.0 billion and replacement share-based awards valued at $45.4 million. Of the $864.5 million of cash consideration, $37.6 million represents the value of the equivalent shares for which service was provided by the grantees prior to December 10, 2025 and will be paid as the equivalent shares vest.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HNI obtained revolving and term credit facilities in an aggregate principal amount of $865 million the proceeds of which were used for the consummation of the acquisition, including the payment of the cash consideration, the repayment of existing indebtedness of HNI and Steelcase, and the payment of fees, costs and commissions in connection with the foregoing. See “Note 7.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incurred aggregate acquisition-related expenses of $102.4 million related to this transaction, of which $93.8 million of expenses were incurred as corporate costs and $8.5 million of expenses were recorded in the Workplace Furnishings segment, and $9.5 million of interest-related expenses. The majority of these expenses were incurred during 2025 when the Corporation incurred $94.6 million in acquisition-related charges and $9.5 million of interest-related charges. In the first six months ended July 4, 2026, $7.8 million of expenses were incurred and included in "Acquisition and related costs" in the Condensed Consolidated Statements of Comprehensive Income. Acquisition and related costs include change in control compensation expense, transaction success fees, retention compensation, and other professional services fees. Incurred primarily in 2025, capitalized costs related to the transaction included $12.0 million of financing fees in "Long-Term Debt," $2.0 million of financing fees in "Other Assets," $0.5 million of financing fees in "Prepaid expenses and other current assets," and $2.1 million of stock issuance fees in "HNI Corporation's shareholders' equity"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acquired assets and assumed liabilities and results of Steelcase's operations are included in the Corporation's segments as of December 10, 2025, as noted below. The acquisition was accounted for using the acquisition method pursuant to ASC 805, Business Combinations, with goodwill recorded in an amount representing the excess of the purchase price over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identifiable tangible and intangible assets and liabilities. Goodwill, which is not tax-deductible, is primarily attributable to the assembled workforce of Steelcase and anticipated synergies.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market value of consideration was $1,922.3 million, which is allocated as follows:</w:t>
      </w:r>
    </w:p>
    <w:tbl>
      <w:tblPr>
        <w:tblW w:w="10205" w:type="dxa"/>
        <w:jc w:val="left"/>
        <w:tblInd w:w="0" w:type="dxa"/>
        <w:tblLayout w:type="fixed"/>
        <w:tblCellMar>
          <w:top w:w="28" w:type="dxa"/>
          <w:left w:w="28" w:type="dxa"/>
          <w:bottom w:w="28" w:type="dxa"/>
          <w:right w:w="28" w:type="dxa"/>
        </w:tblCellMar>
      </w:tblPr>
      <w:tblGrid>
        <w:gridCol w:w="2002"/>
        <w:gridCol w:w="1765"/>
        <w:gridCol w:w="1768"/>
        <w:gridCol w:w="383"/>
        <w:gridCol w:w="383"/>
        <w:gridCol w:w="385"/>
        <w:gridCol w:w="109"/>
        <w:gridCol w:w="109"/>
        <w:gridCol w:w="109"/>
        <w:gridCol w:w="503"/>
        <w:gridCol w:w="503"/>
        <w:gridCol w:w="505"/>
        <w:gridCol w:w="109"/>
        <w:gridCol w:w="109"/>
        <w:gridCol w:w="109"/>
        <w:gridCol w:w="211"/>
        <w:gridCol w:w="766"/>
        <w:gridCol w:w="109"/>
        <w:gridCol w:w="109"/>
        <w:gridCol w:w="159"/>
      </w:tblGrid>
      <w:tr>
        <w:trPr/>
        <w:tc>
          <w:tcPr>
            <w:tcW w:w="2002"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Steelcase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HNI Shares Exchanged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Consideration:</w:t>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Steelcase common stock issued and outstanding as of December 10, 2025</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Steelcase common stock equivalent shares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of Steelcase common stock for cash consideration</w:t>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Consideration:</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Steelcase common stock issued and outstanding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Replacement Share-Based Awards: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awards of Steelcase restricted stock units relating to Steelcase common stock as of December 10, 2025</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Steelcase performance unit awards relating to Steelcase common stock as of December 10, 2025</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date fair value of purchase consideration</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Consideration provided in the form of HNI Corporation shares and HNI Corporation replacement share-based awards represents non-cash consideration.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at the date of acquisition is as follows: </w:t>
      </w:r>
    </w:p>
    <w:tbl>
      <w:tblPr>
        <w:tblW w:w="5174" w:type="dxa"/>
        <w:jc w:val="left"/>
        <w:tblInd w:w="0" w:type="dxa"/>
        <w:tblLayout w:type="fixed"/>
        <w:tblCellMar>
          <w:top w:w="28" w:type="dxa"/>
          <w:left w:w="28" w:type="dxa"/>
          <w:bottom w:w="28" w:type="dxa"/>
          <w:right w:w="28" w:type="dxa"/>
        </w:tblCellMar>
      </w:tblPr>
      <w:tblGrid>
        <w:gridCol w:w="1246"/>
        <w:gridCol w:w="1097"/>
        <w:gridCol w:w="1106"/>
        <w:gridCol w:w="322"/>
        <w:gridCol w:w="1168"/>
        <w:gridCol w:w="235"/>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obligations – operating</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 – operating</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and Liabilities</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preliminary goodwill is assigned to the Workplace Furnishings segment.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acquired identified intangible assets and weighted average useful lives:</w:t>
      </w:r>
    </w:p>
    <w:tbl>
      <w:tblPr>
        <w:tblW w:w="7972" w:type="dxa"/>
        <w:jc w:val="left"/>
        <w:tblInd w:w="0" w:type="dxa"/>
        <w:tblLayout w:type="fixed"/>
        <w:tblCellMar>
          <w:top w:w="28" w:type="dxa"/>
          <w:left w:w="28" w:type="dxa"/>
          <w:bottom w:w="28" w:type="dxa"/>
          <w:right w:w="28" w:type="dxa"/>
        </w:tblCellMar>
      </w:tblPr>
      <w:tblGrid>
        <w:gridCol w:w="1398"/>
        <w:gridCol w:w="1231"/>
        <w:gridCol w:w="1255"/>
        <w:gridCol w:w="109"/>
        <w:gridCol w:w="109"/>
        <w:gridCol w:w="109"/>
        <w:gridCol w:w="814"/>
        <w:gridCol w:w="814"/>
        <w:gridCol w:w="816"/>
        <w:gridCol w:w="109"/>
        <w:gridCol w:w="109"/>
        <w:gridCol w:w="109"/>
        <w:gridCol w:w="213"/>
        <w:gridCol w:w="622"/>
        <w:gridCol w:w="155"/>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 – 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 – 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analysis involves complex management estimates and assumptions using income, market and cost approaches and assumptions such as property appraisals, projections of future revenues, cost and cash flows, discount rates, royalty rates, long-term growth rates, and technology build costs. At this time, assets and liabilities are recorded based on preliminary data and assumptions as the Corporation is in the process of reviewing information related to the determination of the fair values. The provisional assets and liabilities will be adjusted to reflect the finally determined amounts, and those adjustments may be material. Currently, the fair values of all assets acquired and assumed liabilities are considered preliminary. The fair value measurements of property, plant, and equipment and intangible assets are characterized as Level 3 in the fair value hierarchy. The Corporation expects to finalize the purchase price allocation in the second half of 2026. During the six months ended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2026, revisions were made to the purchase price allocation that resulted in a net decrease to goodwill of $124.7 million, primarily due to provisional valuation adjustments to: intangible assets (increased $281.0 million), inventory (increased $31.3 million), net deferred tax (increased $41.2 million), property, plant, and equipment (decreased $71.0 million), and other assets (decreased $85.2 million). Purchase accounting associated with the measurement period adjustments in the current year which would have been recognized at the acquisition date had the information been known totaled $16.6 million. Of this amount, $11.6 million was included in Cost of sales in the Condensed Consolidated Statements of Comprehensive Income, and related to the inventory step-up and additional depreciation for the preliminary valuation adjustment to property, plant and equipment. The remaining $5.0 million was included in Selling and administrative expenses and related to amortization of intangible assets and additional depreciation resulting from the preliminary valuation.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Steelcase operations included in the Condensed Consolidated Statements of Comprehensive Income for the three and six months ended July 4, 2026, including pretax acquisition and related costs of $11.3 million and $19.9 million, respectively, and purchase accounting of $21.9 million and $86.1 million, respectively.</w:t>
      </w:r>
    </w:p>
    <w:p>
      <w:pPr>
        <w:pStyle w:val="TextBody"/>
        <w:bidi w:val="0"/>
        <w:spacing w:before="0" w:after="0"/>
        <w:jc w:val="both"/>
        <w:rPr/>
      </w:pPr>
      <w:r>
        <w:rPr/>
      </w:r>
    </w:p>
    <w:tbl>
      <w:tblPr>
        <w:tblW w:w="6955" w:type="dxa"/>
        <w:jc w:val="left"/>
        <w:tblInd w:w="0" w:type="dxa"/>
        <w:tblLayout w:type="fixed"/>
        <w:tblCellMar>
          <w:top w:w="28" w:type="dxa"/>
          <w:left w:w="28" w:type="dxa"/>
          <w:bottom w:w="28" w:type="dxa"/>
          <w:right w:w="28" w:type="dxa"/>
        </w:tblCellMar>
      </w:tblPr>
      <w:tblGrid>
        <w:gridCol w:w="304"/>
        <w:gridCol w:w="266"/>
        <w:gridCol w:w="269"/>
        <w:gridCol w:w="669"/>
        <w:gridCol w:w="1955"/>
        <w:gridCol w:w="345"/>
        <w:gridCol w:w="109"/>
        <w:gridCol w:w="109"/>
        <w:gridCol w:w="109"/>
        <w:gridCol w:w="526"/>
        <w:gridCol w:w="1910"/>
        <w:gridCol w:w="38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July 4, 2026</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1,580.8 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 Forma Results of Operations - Steelcase Acquisition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on a pro forma basis, the combined results of operations of HNI Corporation and Steelcase for the three and six months ended June 28, 2025, as though the acquisition and related financing had occurred as of December 31, 2023 the first day of the Corporation’s 2024 fiscal year. The pro forma results include certain purchase accounting adjustments such as: elimination of sales between HNI Corporation and Steelcase-owned dealers; estimated depreciation and amortization expense on acquired tangible and intangible assets; stock based compensation associated with additional awards; interest associated with additional borrowings to finance the acquisition; non-recurring transaction costs as outlined above; and the impact to income tax expense. This pro forma information is not necessarily reflective of what the Corporation’s results would have been had the acquisition occurred on the date indicated, nor is it indicative of future results.</w:t>
      </w:r>
    </w:p>
    <w:tbl>
      <w:tblPr>
        <w:tblW w:w="7435" w:type="dxa"/>
        <w:jc w:val="left"/>
        <w:tblInd w:w="0" w:type="dxa"/>
        <w:tblLayout w:type="fixed"/>
        <w:tblCellMar>
          <w:top w:w="28" w:type="dxa"/>
          <w:left w:w="28" w:type="dxa"/>
          <w:bottom w:w="28" w:type="dxa"/>
          <w:right w:w="28" w:type="dxa"/>
        </w:tblCellMar>
      </w:tblPr>
      <w:tblGrid>
        <w:gridCol w:w="380"/>
        <w:gridCol w:w="333"/>
        <w:gridCol w:w="336"/>
        <w:gridCol w:w="603"/>
        <w:gridCol w:w="2190"/>
        <w:gridCol w:w="311"/>
        <w:gridCol w:w="109"/>
        <w:gridCol w:w="109"/>
        <w:gridCol w:w="109"/>
        <w:gridCol w:w="551"/>
        <w:gridCol w:w="2002"/>
        <w:gridCol w:w="402"/>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June 28, 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2,910.5 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HNI India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the Corporation closed on the sale of its HNI India business, which was a component of the Workplace Furnishings segment, to Kokuyo Co., Ltd. in a transaction structured as a stock sale. The Corporation received $9.5 million in gross cash proceeds, or $8.1 million net of cash and transaction fees. In aggregate, the Corporation recognized a $6.5 million pre-tax loss on the sale. Included in the loss is a cumulative foreign currency translation loss of $6.0 million that was reclassified from accumulated other comprehensive income, and transaction-related expenses of $0.6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Residential Building Products inventories, and a majority of its Workplace Furnishings inventories, are valued at cost, on the "last-in, first-out" (LIFO) basis. Remaining inventories are generally valued at the lower of cost, on the "first-in, first-out" (FIFO) basis, or net realizable value. Inventories included in the Condensed Consolidated Balance Sheets consisted of the following:</w:t>
      </w:r>
    </w:p>
    <w:tbl>
      <w:tblPr>
        <w:tblW w:w="6407" w:type="dxa"/>
        <w:jc w:val="left"/>
        <w:tblInd w:w="0" w:type="dxa"/>
        <w:tblLayout w:type="fixed"/>
        <w:tblCellMar>
          <w:top w:w="28" w:type="dxa"/>
          <w:left w:w="28" w:type="dxa"/>
          <w:bottom w:w="28" w:type="dxa"/>
          <w:right w:w="28" w:type="dxa"/>
        </w:tblCellMar>
      </w:tblPr>
      <w:tblGrid>
        <w:gridCol w:w="1388"/>
        <w:gridCol w:w="1220"/>
        <w:gridCol w:w="1231"/>
        <w:gridCol w:w="211"/>
        <w:gridCol w:w="616"/>
        <w:gridCol w:w="271"/>
        <w:gridCol w:w="109"/>
        <w:gridCol w:w="109"/>
        <w:gridCol w:w="109"/>
        <w:gridCol w:w="211"/>
        <w:gridCol w:w="616"/>
        <w:gridCol w:w="316"/>
      </w:tblGrid>
      <w:tr>
        <w:trPr/>
        <w:tc>
          <w:tcPr>
            <w:tcW w:w="138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work in process,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LIFO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valued by the LIFO costing method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inventory valued at LIFO was driven by additional pools of inventory being valued at LIFO starting in the first quarter of 2026, the impact of which was immaterial to the LIFO allowance.</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LIFO allowance, the Corporation recorded inventory allowances reducing finished products, materials, and work in process of $11.1 million and $9.7 million as of July 4, 2026 and January 3, 2026, respectively, to adjust for excess and obsolete inventory or otherwise reduce FIFO-basis inventory to net realizable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other intangible assets included in the Condensed Consolidated Balance Sheets consisted of the following:</w:t>
      </w:r>
    </w:p>
    <w:tbl>
      <w:tblPr>
        <w:tblW w:w="6428" w:type="dxa"/>
        <w:jc w:val="left"/>
        <w:tblInd w:w="0" w:type="dxa"/>
        <w:tblLayout w:type="fixed"/>
        <w:tblCellMar>
          <w:top w:w="28" w:type="dxa"/>
          <w:left w:w="28" w:type="dxa"/>
          <w:bottom w:w="28" w:type="dxa"/>
          <w:right w:w="28" w:type="dxa"/>
        </w:tblCellMar>
      </w:tblPr>
      <w:tblGrid>
        <w:gridCol w:w="1405"/>
        <w:gridCol w:w="1232"/>
        <w:gridCol w:w="1247"/>
        <w:gridCol w:w="211"/>
        <w:gridCol w:w="766"/>
        <w:gridCol w:w="109"/>
        <w:gridCol w:w="109"/>
        <w:gridCol w:w="109"/>
        <w:gridCol w:w="109"/>
        <w:gridCol w:w="211"/>
        <w:gridCol w:w="766"/>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other intangible assets,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activity in the carrying amount of goodwill, by reporting segment, was as follows:</w:t>
      </w:r>
    </w:p>
    <w:tbl>
      <w:tblPr>
        <w:tblW w:w="9960" w:type="dxa"/>
        <w:jc w:val="left"/>
        <w:tblInd w:w="0" w:type="dxa"/>
        <w:tblLayout w:type="fixed"/>
        <w:tblCellMar>
          <w:top w:w="28" w:type="dxa"/>
          <w:left w:w="28" w:type="dxa"/>
          <w:bottom w:w="28" w:type="dxa"/>
          <w:right w:w="28" w:type="dxa"/>
        </w:tblCellMar>
      </w:tblPr>
      <w:tblGrid>
        <w:gridCol w:w="1309"/>
        <w:gridCol w:w="1149"/>
        <w:gridCol w:w="1157"/>
        <w:gridCol w:w="449"/>
        <w:gridCol w:w="1312"/>
        <w:gridCol w:w="234"/>
        <w:gridCol w:w="109"/>
        <w:gridCol w:w="109"/>
        <w:gridCol w:w="109"/>
        <w:gridCol w:w="577"/>
        <w:gridCol w:w="1686"/>
        <w:gridCol w:w="302"/>
        <w:gridCol w:w="109"/>
        <w:gridCol w:w="109"/>
        <w:gridCol w:w="109"/>
        <w:gridCol w:w="211"/>
        <w:gridCol w:w="76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199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goodwill balance as of January 3, 2026</w:t>
            </w:r>
          </w:p>
        </w:tc>
        <w:tc>
          <w:tcPr>
            <w:tcW w:w="1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measurement period adjustments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goodwill balance as of July 4, 2026</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measurement period adjustments in the current year relate to the acquisition of Steelcase in the fourth quarter of 2025. Goodwill related to the acquisition of Steelcase may change materially during 2026 while the measurement period is open. See "Note 3. Acquisitions and Divestitures"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amortizable definite-lived intangible assets, which are reflected in "Goodwill and Other Intangible Assets, net" in the Condensed Consolidated Balance Sheets:</w:t>
      </w:r>
    </w:p>
    <w:tbl>
      <w:tblPr>
        <w:tblW w:w="10205" w:type="dxa"/>
        <w:jc w:val="left"/>
        <w:tblInd w:w="0" w:type="dxa"/>
        <w:tblLayout w:type="fixed"/>
        <w:tblCellMar>
          <w:top w:w="28" w:type="dxa"/>
          <w:left w:w="28" w:type="dxa"/>
          <w:bottom w:w="28" w:type="dxa"/>
          <w:right w:w="28" w:type="dxa"/>
        </w:tblCellMar>
      </w:tblPr>
      <w:tblGrid>
        <w:gridCol w:w="692"/>
        <w:gridCol w:w="500"/>
        <w:gridCol w:w="505"/>
        <w:gridCol w:w="211"/>
        <w:gridCol w:w="766"/>
        <w:gridCol w:w="109"/>
        <w:gridCol w:w="109"/>
        <w:gridCol w:w="109"/>
        <w:gridCol w:w="109"/>
        <w:gridCol w:w="330"/>
        <w:gridCol w:w="964"/>
        <w:gridCol w:w="171"/>
        <w:gridCol w:w="109"/>
        <w:gridCol w:w="109"/>
        <w:gridCol w:w="109"/>
        <w:gridCol w:w="211"/>
        <w:gridCol w:w="616"/>
        <w:gridCol w:w="109"/>
        <w:gridCol w:w="109"/>
        <w:gridCol w:w="109"/>
        <w:gridCol w:w="109"/>
        <w:gridCol w:w="211"/>
        <w:gridCol w:w="616"/>
        <w:gridCol w:w="109"/>
        <w:gridCol w:w="109"/>
        <w:gridCol w:w="109"/>
        <w:gridCol w:w="109"/>
        <w:gridCol w:w="330"/>
        <w:gridCol w:w="964"/>
        <w:gridCol w:w="171"/>
        <w:gridCol w:w="109"/>
        <w:gridCol w:w="109"/>
        <w:gridCol w:w="109"/>
        <w:gridCol w:w="211"/>
        <w:gridCol w:w="616"/>
        <w:gridCol w:w="158"/>
      </w:tblGrid>
      <w:tr>
        <w:trPr/>
        <w:tc>
          <w:tcPr>
            <w:tcW w:w="6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69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is reflected in "Selling and administrative expenses" in the Condensed Consolidated Statements of Comprehensive Income and was as follows:</w:t>
      </w:r>
    </w:p>
    <w:tbl>
      <w:tblPr>
        <w:tblW w:w="6930" w:type="dxa"/>
        <w:jc w:val="left"/>
        <w:tblInd w:w="0" w:type="dxa"/>
        <w:tblLayout w:type="fixed"/>
        <w:tblCellMar>
          <w:top w:w="28" w:type="dxa"/>
          <w:left w:w="28" w:type="dxa"/>
          <w:bottom w:w="28" w:type="dxa"/>
          <w:right w:w="28" w:type="dxa"/>
        </w:tblCellMar>
      </w:tblPr>
      <w:tblGrid>
        <w:gridCol w:w="972"/>
        <w:gridCol w:w="853"/>
        <w:gridCol w:w="859"/>
        <w:gridCol w:w="211"/>
        <w:gridCol w:w="511"/>
        <w:gridCol w:w="109"/>
        <w:gridCol w:w="109"/>
        <w:gridCol w:w="109"/>
        <w:gridCol w:w="109"/>
        <w:gridCol w:w="226"/>
        <w:gridCol w:w="436"/>
        <w:gridCol w:w="117"/>
        <w:gridCol w:w="109"/>
        <w:gridCol w:w="109"/>
        <w:gridCol w:w="109"/>
        <w:gridCol w:w="211"/>
        <w:gridCol w:w="511"/>
        <w:gridCol w:w="109"/>
        <w:gridCol w:w="109"/>
        <w:gridCol w:w="109"/>
        <w:gridCol w:w="109"/>
        <w:gridCol w:w="226"/>
        <w:gridCol w:w="434"/>
        <w:gridCol w:w="16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definite-lived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in the current-year period was impacted by adjustments to intangible asset values based on the preliminary valuation of definite-lived intangibles acquired with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occurrence of events such as acquisitions, dispositions, or impairments may impact future amortization expense. Amortization based on the preliminary valuation of definite-lived intangibles acquired with Steelcase is included in the projection below. A decline in the next several years will be primarily attributable to the completion of the amortization related to identified intangibles with respect to backlog from the Steelcase acquisition and the completion of the Corporation’s Business Systems Transformation investment. Based on the current amount of intangible assets subject to amortization, the estimated amortization expense for the remainder of 2026 and each of the following four years is as follows:</w:t>
      </w:r>
    </w:p>
    <w:tbl>
      <w:tblPr>
        <w:tblW w:w="8229"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335"/>
        <w:gridCol w:w="812"/>
        <w:gridCol w:w="173"/>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(Q3 - 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also owns certain intangible assets, which are deemed to have indefinite useful lives because they are expected to generate cash flows indefinitely. Indefinite-lived trade names acquired with Steelcase are preliminary and may change materially during 2026. These indefinite-lived intangible assets are reflected in "Goodwill and Other Intangible Assets, net" in the Condensed Consolidated Balance Sheets:</w:t>
      </w:r>
    </w:p>
    <w:tbl>
      <w:tblPr>
        <w:tblW w:w="4658" w:type="dxa"/>
        <w:jc w:val="left"/>
        <w:tblInd w:w="0" w:type="dxa"/>
        <w:tblLayout w:type="fixed"/>
        <w:tblCellMar>
          <w:top w:w="28" w:type="dxa"/>
          <w:left w:w="28" w:type="dxa"/>
          <w:bottom w:w="28" w:type="dxa"/>
          <w:right w:w="28" w:type="dxa"/>
        </w:tblCellMar>
      </w:tblPr>
      <w:tblGrid>
        <w:gridCol w:w="874"/>
        <w:gridCol w:w="768"/>
        <w:gridCol w:w="772"/>
        <w:gridCol w:w="211"/>
        <w:gridCol w:w="616"/>
        <w:gridCol w:w="109"/>
        <w:gridCol w:w="109"/>
        <w:gridCol w:w="109"/>
        <w:gridCol w:w="109"/>
        <w:gridCol w:w="211"/>
        <w:gridCol w:w="61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the current-year period was due to an adjustment in the value of the indefinite-lived trade name based on the preliminary valuation of Steelcase and is subject to change with the finalization of the valuation analysis.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Impairment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evaluates its goodwill and indefinite-lived intangible assets for impairment on an annual basis during the fourth quarter, or whenever indicators of impairment exist. The Corporation also evaluates long-lived assets (which include definite-lived intangible assets) for impairment if indicators exist.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Product Warranties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issues certain warranty policies on its Workplace Furnishings and Residential Building Products that provide for repair or replacement of any covered product or component that fails during normal use because of a defect in design, materials, or workmanship. The duration of warranty policies on the Corporation’s products varies based on the type of product. Allowances have been established for the anticipated future costs associated with the Corporation’s warranty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warranty allowance is determined by recording a specific allowance for known warranty issues and an additional allowance for unknown claims expected to be incurred based on historical claims experience. Actual claims incurred could differ materially from the original estimates, requiring adjustments to the allowance.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associated with warranty obligations was as follows:</w:t>
      </w:r>
    </w:p>
    <w:tbl>
      <w:tblPr>
        <w:tblW w:w="5813" w:type="dxa"/>
        <w:jc w:val="left"/>
        <w:tblInd w:w="0" w:type="dxa"/>
        <w:tblLayout w:type="fixed"/>
        <w:tblCellMar>
          <w:top w:w="28" w:type="dxa"/>
          <w:left w:w="28" w:type="dxa"/>
          <w:bottom w:w="28" w:type="dxa"/>
          <w:right w:w="28" w:type="dxa"/>
        </w:tblCellMar>
      </w:tblPr>
      <w:tblGrid>
        <w:gridCol w:w="1369"/>
        <w:gridCol w:w="1203"/>
        <w:gridCol w:w="1207"/>
        <w:gridCol w:w="211"/>
        <w:gridCol w:w="511"/>
        <w:gridCol w:w="109"/>
        <w:gridCol w:w="109"/>
        <w:gridCol w:w="109"/>
        <w:gridCol w:w="109"/>
        <w:gridCol w:w="211"/>
        <w:gridCol w:w="51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included in acquisition / divestiture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activity and balances during the current-year period was due to the acquisition of Steelcase during December 2025, see "Note 3. Acquisitions and Divestitures".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and long-term portions of the allowance for estimated settlements are included within "Accounts payable and accrued expenses" and "Other Long-Term Liabilities," respectively, in the Condensed Consolidated Balance Sheets. The following table summarizes when these estimated settlements are expected to be paid:</w:t>
      </w:r>
    </w:p>
    <w:tbl>
      <w:tblPr>
        <w:tblW w:w="5118" w:type="dxa"/>
        <w:jc w:val="left"/>
        <w:tblInd w:w="0" w:type="dxa"/>
        <w:tblLayout w:type="fixed"/>
        <w:tblCellMar>
          <w:top w:w="28" w:type="dxa"/>
          <w:left w:w="28" w:type="dxa"/>
          <w:bottom w:w="28" w:type="dxa"/>
          <w:right w:w="28" w:type="dxa"/>
        </w:tblCellMar>
      </w:tblPr>
      <w:tblGrid>
        <w:gridCol w:w="1079"/>
        <w:gridCol w:w="949"/>
        <w:gridCol w:w="957"/>
        <w:gridCol w:w="211"/>
        <w:gridCol w:w="511"/>
        <w:gridCol w:w="109"/>
        <w:gridCol w:w="109"/>
        <w:gridCol w:w="109"/>
        <w:gridCol w:w="109"/>
        <w:gridCol w:w="235"/>
        <w:gridCol w:w="569"/>
        <w:gridCol w:w="171"/>
      </w:tblGrid>
      <w:tr>
        <w:trPr/>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 in the next twelve months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 beyond one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is as follows:</w:t>
      </w:r>
    </w:p>
    <w:tbl>
      <w:tblPr>
        <w:tblW w:w="9864" w:type="dxa"/>
        <w:jc w:val="left"/>
        <w:tblInd w:w="0" w:type="dxa"/>
        <w:tblLayout w:type="fixed"/>
        <w:tblCellMar>
          <w:top w:w="28" w:type="dxa"/>
          <w:left w:w="28" w:type="dxa"/>
          <w:bottom w:w="28" w:type="dxa"/>
          <w:right w:w="28" w:type="dxa"/>
        </w:tblCellMar>
      </w:tblPr>
      <w:tblGrid>
        <w:gridCol w:w="2649"/>
        <w:gridCol w:w="2329"/>
        <w:gridCol w:w="2342"/>
        <w:gridCol w:w="211"/>
        <w:gridCol w:w="766"/>
        <w:gridCol w:w="109"/>
        <w:gridCol w:w="109"/>
        <w:gridCol w:w="109"/>
        <w:gridCol w:w="109"/>
        <w:gridCol w:w="211"/>
        <w:gridCol w:w="766"/>
        <w:gridCol w:w="154"/>
      </w:tblGrid>
      <w:tr>
        <w:trPr/>
        <w:tc>
          <w:tcPr>
            <w:tcW w:w="264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with interest at a variable rate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(July 4, 2026 - 5.3 %; January 3, 2026 - 5.3 %)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 with interest at a variable rate (July 4, 2026 - 5.3%; January 3, 2026 - 5.2%)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 with interest at a variable rate (July 4, 2026 - 5.4%; January 3, 2026 - 5.8%)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Notes with fixed rates due in 2029 with an interest rate of 5.125%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carrying value of the Corporation’s variable-rate, long-term debt obligations under the revolving credit and term loan facilities at July 4, 2026 was $946 million, which approximated fair value. The fair value of the public notes was estimated based on a discounted cash flow method (Level 2) to be $443 million at July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Credit Facilities for Merger Agreement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5, 2025, in connection with the acquisition of Steelcase, the Corporation entered into a Credit Agreement, by and among the Corporation, certain domestic subsidiaries of the Corporation, the lenders from time-to-time party thereto, Wells Fargo Bank, National Association, as administrative agent, and other parties named therein (as amended, restated, supplemented or otherwise modified by time to time, including by Amendment No. 1 to Credit Agreement, dated as of November 5, 2025, and Amendment No. 2 to Credit Agreement, dated as of December 10, 2025, the “Credit Agreement”). The Credit Agreement establishes (i) a senior secured revolving credit facility (the “Revolving Facility,” and the loans thereunder, the “Revolving Loans”), (ii) a senior secured “term loan A” credit facility (the “TLA Facility,” and the loans thereunder, the “Term A Loans”) and (iii) a senior secured “term loan B” credit facility (the “TLB Facility,” and the loans thereunder, the “Term B Loans”). Upon completion of the Steelcase acquisition on December 10, 2025 (the "Closing Date"), the Corporation executed borrowings under these Credit Agreement facilities, which were used primarily to repay and retire outstanding credit facilities and to fund the completion of the Steelcase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10, 2026, the Corporation entered into Amendment No. 3 to Credit Agreement (“Amendment No. 3”). Amendment No. 3 provides for a new $499 million tranche of term loans maturing in 2032 (the “Replacement Term B Loans”), the proceeds of which were used to refinance all outstanding Term B Loans. Substantially all terms and conditions of the Credit Agreement were unchanged by Amendment No. 3 other than the Applicable Percentage for the 2026 Refinancing Term B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4, 2026, the Corporation had $103.0 million of borrowings outstanding under the $425 million Revolving Facility. The Revolving Facility has a scheduled maturity date of the earlier of (a) 5 years after the closing date of the Steelcase acquisition or December 10, 2030 or (b) a customary springing maturity date. The entire amount drawn under the Revolving Facility is considered long-term as the Corporation assumes no obligation to repay any of the amounts borrowed in the next twelve months. The Corporation can access the full $425 million of borrowing capacity available under the Revolving Facility, which includes the $103.0 million of borrowings outstanding as of July 4, 2026, and maintain compliance with the financial covenants under the Credit Agreement, described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deferred the related debt issuance costs for the Credit Agreement. The proportionate share of deferred debt issuance costs related to the Revolving Facility are classified as assets, and the Corporation is amortizing such costs over the term of Revolving Facility. The current portion of the Revolving Facility deferred debt issuance costs of $0.5 million is the amount to be amortized over the next twelve months and is reflected in "Prepaid expenses and other current assets"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Balance Sheets. The long-term portion of the Revolving Facility deferred debt issuance costs of $1.8 million is reflected in "Other Assets"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cash flows from operations, the Revolving Facility under the Credit Agreement is the primary source of daily operating capital for the Corporation and provides additional financial capacity for capital expenditures, repurchases of common stock, and strategic initiatives, such as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TLA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4, 2026, the Corporation had $345.6 million of borrowings outstanding under the TLA Facility. The TLA Facility has a scheduled maturity date of the earlier of (a) 5 years after the closing date of the Steelcase acquisition or December 10, 2030 (the “TLA Maturity Date”) or (b) a customary springing maturity date. The TLA Facility is subject to principal amortization which began on the last business day of March 2026 with quarterly principal payments due thereafter through the TLA Maturity Date. The quarterly amortization payments are equal to the following amounts of the original principal amount of the Term A Loans: (i) 0.625% for the first four full fiscal quarters after the Closing Date; (ii) 1.25% for the fifth through twelfth full fiscal quarters after the Closing Date (iii) 1.875% for the thirteenth through sixteenth full fiscal quarters after the Closing Date; and (iv) 2.5% for the seventeenth full fiscal quarter after the Closing Date through the TLA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deferred the related debt issuance costs for the Credit Agreement. The proportionate share of deferred debt issuance costs related to the TLA Facility, which are classified as a reduction of long-term debt, are being amortized over the term of the TLA Facility. The TLA Facility deferred debt issuance costs do not reduce the amount owed by the Corporation under the TLA Loans. As of July 4, 2026, the TLA Facility deferred debt issuance costs balance of $1.8 million are reflected as a reduction to "Long-Term Debt"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TLB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4, 2026, the Corporation had $497.5 million principal amount of borrowings outstanding under the TLB Facility. Under Amendment No. 3 to the Credit Agreement, on June 10, 2026, all previously outstanding Term B Loans were refinanced and replaced with the 2026 Replacement Term B Loans, constituting a new $499 million tranche of term loans. Remaining terms of the TLB Facility were substantially unchanged. The TLB Facility continues to have a scheduled maturity date of (a) 7 years after the closing date of the Steelcase acquisition or December 10, 2032 (the “TLB Maturity Date”) or (b) a customary springing maturity date. The TLB Facility is subject to principal amortization which began on the last business day of March 2026 with quarterly principal payments due thereafter through the TLB Maturity Date. The quarterly amortization payments are in equal amounts of 0.25% of the original principal amount of the 2026 Replacement Term B Loans for each full fiscal quarter following the execution of Amendment No. 3 through the TLB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deferred the related debt issuance costs for the Credit Agreement. The proportionate share of deferred debt issuance costs related to the TLB Facility, which are classified as a reduction of long-term debt, are being amortized over the term of the TLB Facility. The refinancing of the TLB Facility in June 2026 was treated as a partial extinguishment, as a result, a portion of the previously deferred debt issuance costs were recognized as Interest Expense in the Condensed Consolidated Statements of Comprehensive Income during the current period. The TLB Facility deferred debt issuance costs do not reduce the amount owed by the Corporation under the 2026 Replacement Term B Loans. As of July 4, 2026, the TLB Facility deferred debt issuance costs balance of $8.0 million is reflected as a reduction to "Long-Term Debt"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 and Debt Covenants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representations and warranties by the Corporation, which include customary materiality, material adverse effect and knowledge qualifiers. The Credit Agreement also contains customary affirmative and negative covenants including, among other requirements, limitations relating to indebtedness, liens, changes to nature of business, mergers, sale of assets and indebtedness of subsidiaries, advances, investments and loans, transactions with affiliates, changes to fiscal year, and organizational documents, restricted actions, and negative pledges.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financial covenants in respect of the Revolving Facility and TLA Facility that require the maintenance of a maximum net leverage ratio and a minimum interest coverage ratio for periods after the Closing Date. The Corporation is required to maintain a maximum Net Leverage Ratio (as defined in the Credit Agreement) as of the end of each fiscal quarter of less than or equal to (i) 4.25 to 1.00 as of the end of each of the first, second, third and fourth full fiscal quarters ending after the Closing Date, (ii) 4.00 to 1.00 as of the end of each of the fifth and sixth full fiscal quarters ending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Closing Date and (iii) 3.50 to 1.00 as of the end of the seventh full fiscal quarter ending after the Closing Date and as of the end of each fiscal quarter thereafter. In addition, in respect of the Revolving Facility and the TLA Facility the Corporation is required to maintain a minimum Interest Coverage Ratio (as defined in the Credit Agreement) as of the end of each fiscal quarter of greater than or equal to 3.50 to 1.00. The Corporation was in compliance with these financial covenants as of July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Public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 2026 the Corporation had outstanding a total of $450.0 million principal amount of public notes (the "Public Notes), consisting of $351.0 million of principal amount of public notes issued by the Corporation in connection with the Steelcase acquisition in exchange for Steelcase public notes in the same principal amount, and $99.0 million principal amount of public notes issued by Steelcase that were not exchanged.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acquisition date, the Corporation adjusted the public notes acquired to fair value by recognizing a market discount. Additionally, the Corporation deferred the related debt issuance costs for the Credit Agreement. The fair value adjustment and proportionate share of the deferred debt issuance costs related to the Public Notes, which are classified as a reduction of long-term debt, are being amortized over the term of the Public Notes. The Public Notes discount and deferred debt issuance costs do not reduce the amount owed by the Corporation under the Public Notes. As of July 4, 2026, the Public Notes discount balance and deferred debt issuance costs of $11.1 million are reflected as a reduction to "Long-Term Debt" in the Condensed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tax provision for interim periods is determined using an estimate of its annual effective tax rate, adjusted for discrete items. The following table summarizes the Corporation’s income tax provision:</w:t>
      </w:r>
    </w:p>
    <w:tbl>
      <w:tblPr>
        <w:tblW w:w="7382" w:type="dxa"/>
        <w:jc w:val="left"/>
        <w:tblInd w:w="0" w:type="dxa"/>
        <w:tblLayout w:type="fixed"/>
        <w:tblCellMar>
          <w:top w:w="28" w:type="dxa"/>
          <w:left w:w="28" w:type="dxa"/>
          <w:bottom w:w="28" w:type="dxa"/>
          <w:right w:w="28" w:type="dxa"/>
        </w:tblCellMar>
      </w:tblPr>
      <w:tblGrid>
        <w:gridCol w:w="863"/>
        <w:gridCol w:w="757"/>
        <w:gridCol w:w="764"/>
        <w:gridCol w:w="211"/>
        <w:gridCol w:w="511"/>
        <w:gridCol w:w="271"/>
        <w:gridCol w:w="109"/>
        <w:gridCol w:w="109"/>
        <w:gridCol w:w="109"/>
        <w:gridCol w:w="211"/>
        <w:gridCol w:w="511"/>
        <w:gridCol w:w="271"/>
        <w:gridCol w:w="109"/>
        <w:gridCol w:w="109"/>
        <w:gridCol w:w="109"/>
        <w:gridCol w:w="211"/>
        <w:gridCol w:w="511"/>
        <w:gridCol w:w="271"/>
        <w:gridCol w:w="109"/>
        <w:gridCol w:w="109"/>
        <w:gridCol w:w="109"/>
        <w:gridCol w:w="211"/>
        <w:gridCol w:w="511"/>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effective tax rate for the three months ended July 4, 2026 was higher than the rate for the corresponding prior-year period, primarily due to the impact of non-deductible executive compensation, unfavorable equity-based compensation adjustments, and the settlement of certain foreign-related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effective tax rate for the six months ended July 4, 2026 was lower than the corresponding prior-year period, primarily due to favorable equity-based compensation adjustments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Fair Value Measurements of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recognition purposes, on a recurring basis, the Corporation is required to measure at fair value its marketable securities, derivative financial instruments, put option liabilities, and auction rate securities. The marketable securities are comprised of money market funds, government securities, corporate bonds, and mutual funds. When available, the Corporation uses quoted market prices to determine fair value and classifies such measurements within Level 1. Where market prices are not available, the Corporation makes use of observable market-based inputs (prices or quotes from published exchanges and indexes) to calculate fair value using the market approach, in which case the measurements are classified within Level 2. Significant unobservable inputs, which are classified within Level 3, are used in the estimation of the fair value of put option liabilities and auction rate securities, determined using a simulation model based on assumptions including future cash flows, discount rates, and volatility. The activity for assets and liabilities measured at estimated fair value using Level 3 during the current- and prior-year period was immaterial.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measured at fair value were as follows: </w:t>
      </w:r>
    </w:p>
    <w:tbl>
      <w:tblPr>
        <w:tblW w:w="10205" w:type="dxa"/>
        <w:jc w:val="left"/>
        <w:tblInd w:w="0" w:type="dxa"/>
        <w:tblLayout w:type="fixed"/>
        <w:tblCellMar>
          <w:top w:w="28" w:type="dxa"/>
          <w:left w:w="28" w:type="dxa"/>
          <w:bottom w:w="28" w:type="dxa"/>
          <w:right w:w="28" w:type="dxa"/>
        </w:tblCellMar>
      </w:tblPr>
      <w:tblGrid>
        <w:gridCol w:w="1004"/>
        <w:gridCol w:w="668"/>
        <w:gridCol w:w="674"/>
        <w:gridCol w:w="375"/>
        <w:gridCol w:w="1098"/>
        <w:gridCol w:w="196"/>
        <w:gridCol w:w="109"/>
        <w:gridCol w:w="109"/>
        <w:gridCol w:w="109"/>
        <w:gridCol w:w="432"/>
        <w:gridCol w:w="1261"/>
        <w:gridCol w:w="223"/>
        <w:gridCol w:w="109"/>
        <w:gridCol w:w="109"/>
        <w:gridCol w:w="109"/>
        <w:gridCol w:w="452"/>
        <w:gridCol w:w="903"/>
        <w:gridCol w:w="235"/>
        <w:gridCol w:w="109"/>
        <w:gridCol w:w="109"/>
        <w:gridCol w:w="109"/>
        <w:gridCol w:w="454"/>
        <w:gridCol w:w="908"/>
        <w:gridCol w:w="341"/>
      </w:tblGrid>
      <w:tr>
        <w:trPr/>
        <w:tc>
          <w:tcPr>
            <w:tcW w:w="10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as of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w:t>
              <w:br/>
              <w:t>(Level 3)</w:t>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1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money market funds)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assets (2)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Auction Rate Security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 liability (4)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liabilities (4)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liability (5)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money market funds) (1)</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 (3)</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assets (2)</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Auction Rate Security (3)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 liability (4)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 - liabilities (4)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liability (5)</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liabilities.</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index below indicates the line items in the Condensed Consolidated Balance Sheets where the financial instruments are reported: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"Cash and 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"Prepaid expenses and other current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Current portion - "Short-term investments"; Long-term portion - "Other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Current portion - "Accounts payable and accrued expenses"; Long-term portion - "Other Long-Term Liabilities"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"Other Long-Term Liabilities"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Accumulated Other Comprehensive Income (Loss) and Shareholders’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components of accumulated other comprehensive income (loss) and the changes in accumulated other comprehensive income (loss), net of tax, as applicable:</w:t>
      </w:r>
    </w:p>
    <w:tbl>
      <w:tblPr>
        <w:tblW w:w="10205" w:type="dxa"/>
        <w:jc w:val="left"/>
        <w:tblInd w:w="0" w:type="dxa"/>
        <w:tblLayout w:type="fixed"/>
        <w:tblCellMar>
          <w:top w:w="28" w:type="dxa"/>
          <w:left w:w="28" w:type="dxa"/>
          <w:bottom w:w="28" w:type="dxa"/>
          <w:right w:w="28" w:type="dxa"/>
        </w:tblCellMar>
      </w:tblPr>
      <w:tblGrid>
        <w:gridCol w:w="1047"/>
        <w:gridCol w:w="414"/>
        <w:gridCol w:w="408"/>
        <w:gridCol w:w="109"/>
        <w:gridCol w:w="109"/>
        <w:gridCol w:w="109"/>
        <w:gridCol w:w="354"/>
        <w:gridCol w:w="706"/>
        <w:gridCol w:w="183"/>
        <w:gridCol w:w="109"/>
        <w:gridCol w:w="109"/>
        <w:gridCol w:w="109"/>
        <w:gridCol w:w="343"/>
        <w:gridCol w:w="686"/>
        <w:gridCol w:w="177"/>
        <w:gridCol w:w="109"/>
        <w:gridCol w:w="109"/>
        <w:gridCol w:w="109"/>
        <w:gridCol w:w="432"/>
        <w:gridCol w:w="831"/>
        <w:gridCol w:w="223"/>
        <w:gridCol w:w="109"/>
        <w:gridCol w:w="109"/>
        <w:gridCol w:w="109"/>
        <w:gridCol w:w="315"/>
        <w:gridCol w:w="630"/>
        <w:gridCol w:w="165"/>
        <w:gridCol w:w="109"/>
        <w:gridCol w:w="109"/>
        <w:gridCol w:w="109"/>
        <w:gridCol w:w="441"/>
        <w:gridCol w:w="881"/>
        <w:gridCol w:w="334"/>
      </w:tblGrid>
      <w:tr>
        <w:trPr/>
        <w:tc>
          <w:tcPr>
            <w:tcW w:w="10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 (Losses) on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or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equity.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7"/>
        <w:gridCol w:w="449"/>
        <w:gridCol w:w="452"/>
        <w:gridCol w:w="109"/>
        <w:gridCol w:w="109"/>
        <w:gridCol w:w="109"/>
        <w:gridCol w:w="354"/>
        <w:gridCol w:w="706"/>
        <w:gridCol w:w="183"/>
        <w:gridCol w:w="109"/>
        <w:gridCol w:w="109"/>
        <w:gridCol w:w="109"/>
        <w:gridCol w:w="343"/>
        <w:gridCol w:w="686"/>
        <w:gridCol w:w="177"/>
        <w:gridCol w:w="109"/>
        <w:gridCol w:w="109"/>
        <w:gridCol w:w="109"/>
        <w:gridCol w:w="423"/>
        <w:gridCol w:w="845"/>
        <w:gridCol w:w="219"/>
        <w:gridCol w:w="109"/>
        <w:gridCol w:w="109"/>
        <w:gridCol w:w="109"/>
        <w:gridCol w:w="315"/>
        <w:gridCol w:w="630"/>
        <w:gridCol w:w="165"/>
        <w:gridCol w:w="109"/>
        <w:gridCol w:w="109"/>
        <w:gridCol w:w="109"/>
        <w:gridCol w:w="441"/>
        <w:gridCol w:w="881"/>
        <w:gridCol w:w="334"/>
      </w:tblGrid>
      <w:tr>
        <w:trPr/>
        <w:tc>
          <w:tcPr>
            <w:tcW w:w="9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Gains (Losses) on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or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the Corporation is subject to market risk associated with interest rate movements. Interest rate risk arises from variable interest debt obligations. Interest rate swap derivative instruments are periodically held and used by the Corporation as a tool for managing interest rate risk. They are not used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2023, the Corporation entered into an interest rate swap transaction to hedge $100 million of outstanding variable-rate borrowings against future interest rate volatility. Under the terms of this interest rate swap, the Corporation pays a fixed rate of 4.7 percent and receives a one-month Secured Overnight Financing Rate (SOFR) on a $100 million notional value expiring June 14, 2027. As of July 4, 2026, the fair value of the Corporation’s interest rate swap liability was $0.8 million. See "Note 9. Fair Value Measurements of Financial Instruments." The unrealized change in value of the interest rate swap is reported net of tax as $0.5 million in "Accumulated other comprehensive income (loss)" in the Condensed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reclassifications from accumulated other comprehensive income (loss):</w:t>
      </w:r>
    </w:p>
    <w:tbl>
      <w:tblPr>
        <w:tblW w:w="10205" w:type="dxa"/>
        <w:jc w:val="left"/>
        <w:tblInd w:w="0" w:type="dxa"/>
        <w:tblLayout w:type="fixed"/>
        <w:tblCellMar>
          <w:top w:w="28" w:type="dxa"/>
          <w:left w:w="28" w:type="dxa"/>
          <w:bottom w:w="28" w:type="dxa"/>
          <w:right w:w="28" w:type="dxa"/>
        </w:tblCellMar>
      </w:tblPr>
      <w:tblGrid>
        <w:gridCol w:w="1119"/>
        <w:gridCol w:w="982"/>
        <w:gridCol w:w="987"/>
        <w:gridCol w:w="1063"/>
        <w:gridCol w:w="825"/>
        <w:gridCol w:w="827"/>
        <w:gridCol w:w="109"/>
        <w:gridCol w:w="109"/>
        <w:gridCol w:w="109"/>
        <w:gridCol w:w="211"/>
        <w:gridCol w:w="441"/>
        <w:gridCol w:w="109"/>
        <w:gridCol w:w="109"/>
        <w:gridCol w:w="109"/>
        <w:gridCol w:w="109"/>
        <w:gridCol w:w="211"/>
        <w:gridCol w:w="441"/>
        <w:gridCol w:w="109"/>
        <w:gridCol w:w="109"/>
        <w:gridCol w:w="109"/>
        <w:gridCol w:w="109"/>
        <w:gridCol w:w="211"/>
        <w:gridCol w:w="441"/>
        <w:gridCol w:w="109"/>
        <w:gridCol w:w="109"/>
        <w:gridCol w:w="109"/>
        <w:gridCol w:w="109"/>
        <w:gridCol w:w="211"/>
        <w:gridCol w:w="441"/>
        <w:gridCol w:w="159"/>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Details about Accumulated Other Comprehensive Income (Loss) Components</w:t>
            </w:r>
          </w:p>
        </w:tc>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Affected Line Item in the Statement Where Net Income is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58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liabilities</w:t>
            </w:r>
          </w:p>
        </w:tc>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w:t>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HNI India divestiture</w:t>
            </w:r>
          </w:p>
        </w:tc>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in parentheses indicate reductions to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Corporation declared and paid cash dividends per common share as follows:</w:t>
      </w:r>
    </w:p>
    <w:tbl>
      <w:tblPr>
        <w:tblW w:w="4508" w:type="dxa"/>
        <w:jc w:val="left"/>
        <w:tblInd w:w="0" w:type="dxa"/>
        <w:tblLayout w:type="fixed"/>
        <w:tblCellMar>
          <w:top w:w="28" w:type="dxa"/>
          <w:left w:w="28" w:type="dxa"/>
          <w:bottom w:w="28" w:type="dxa"/>
          <w:right w:w="28" w:type="dxa"/>
        </w:tblCellMar>
      </w:tblPr>
      <w:tblGrid>
        <w:gridCol w:w="896"/>
        <w:gridCol w:w="788"/>
        <w:gridCol w:w="790"/>
        <w:gridCol w:w="211"/>
        <w:gridCol w:w="511"/>
        <w:gridCol w:w="109"/>
        <w:gridCol w:w="109"/>
        <w:gridCol w:w="109"/>
        <w:gridCol w:w="109"/>
        <w:gridCol w:w="211"/>
        <w:gridCol w:w="51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shares repurchased and settled by the Corporation: </w:t>
      </w:r>
    </w:p>
    <w:tbl>
      <w:tblPr>
        <w:tblW w:w="5574" w:type="dxa"/>
        <w:jc w:val="left"/>
        <w:tblInd w:w="0" w:type="dxa"/>
        <w:tblLayout w:type="fixed"/>
        <w:tblCellMar>
          <w:top w:w="28" w:type="dxa"/>
          <w:left w:w="28" w:type="dxa"/>
          <w:bottom w:w="28" w:type="dxa"/>
          <w:right w:w="28" w:type="dxa"/>
        </w:tblCellMar>
      </w:tblPr>
      <w:tblGrid>
        <w:gridCol w:w="1282"/>
        <w:gridCol w:w="1127"/>
        <w:gridCol w:w="1131"/>
        <w:gridCol w:w="211"/>
        <w:gridCol w:w="406"/>
        <w:gridCol w:w="109"/>
        <w:gridCol w:w="109"/>
        <w:gridCol w:w="109"/>
        <w:gridCol w:w="109"/>
        <w:gridCol w:w="211"/>
        <w:gridCol w:w="61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purchase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unsettled as of quarter end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purchases settled in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per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stock repurchase activity during the three and six months ended July 4, 2026. As of July 4, 2026, $84.3 million of the Corporation’s stock repurchase authorization by the board of directors remained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Earnings per share is computed using the two-class method. The two-class method determines earnings per share for each class of common stock and participating securities according to dividends or dividend equivalents and their respective participation rights in undistributed earnings. Participating securities represent restricted stock units in which the participants have non-forfeitable rights to dividend equivalents during the service period.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numerators and denominators used in the calculation of basic and diluted earnings per share ("EPS"):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2"/>
        <w:gridCol w:w="922"/>
        <w:gridCol w:w="927"/>
        <w:gridCol w:w="230"/>
        <w:gridCol w:w="558"/>
        <w:gridCol w:w="118"/>
        <w:gridCol w:w="109"/>
        <w:gridCol w:w="109"/>
        <w:gridCol w:w="109"/>
        <w:gridCol w:w="233"/>
        <w:gridCol w:w="566"/>
        <w:gridCol w:w="120"/>
        <w:gridCol w:w="109"/>
        <w:gridCol w:w="109"/>
        <w:gridCol w:w="109"/>
        <w:gridCol w:w="251"/>
        <w:gridCol w:w="608"/>
        <w:gridCol w:w="129"/>
        <w:gridCol w:w="109"/>
        <w:gridCol w:w="109"/>
        <w:gridCol w:w="109"/>
        <w:gridCol w:w="226"/>
        <w:gridCol w:w="549"/>
        <w:gridCol w:w="116"/>
        <w:gridCol w:w="109"/>
        <w:gridCol w:w="109"/>
        <w:gridCol w:w="109"/>
        <w:gridCol w:w="233"/>
        <w:gridCol w:w="566"/>
        <w:gridCol w:w="120"/>
        <w:gridCol w:w="109"/>
        <w:gridCol w:w="109"/>
        <w:gridCol w:w="109"/>
        <w:gridCol w:w="249"/>
        <w:gridCol w:w="603"/>
        <w:gridCol w:w="194"/>
      </w:tblGrid>
      <w:tr>
        <w:trPr/>
        <w:tc>
          <w:tcPr>
            <w:tcW w:w="105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 June 28, 2025</w:t>
            </w:r>
          </w:p>
        </w:tc>
      </w:tr>
      <w:tr>
        <w:trPr/>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Earnings Per Share</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participating shares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 excluding participating securities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 June 28, 2025</w:t>
            </w:r>
          </w:p>
        </w:tc>
      </w:tr>
      <w:tr>
        <w:trPr/>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Earnings Per Share</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Dilutive Shares</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participating shares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used in calculating earnings per share, excluding participating securities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shares from stock-based compensation plans included in dilutive shares were as follows:</w:t>
      </w:r>
    </w:p>
    <w:tbl>
      <w:tblPr>
        <w:tblW w:w="9692" w:type="dxa"/>
        <w:jc w:val="left"/>
        <w:tblInd w:w="0" w:type="dxa"/>
        <w:tblLayout w:type="fixed"/>
        <w:tblCellMar>
          <w:top w:w="28" w:type="dxa"/>
          <w:left w:w="28" w:type="dxa"/>
          <w:bottom w:w="28" w:type="dxa"/>
          <w:right w:w="28" w:type="dxa"/>
        </w:tblCellMar>
      </w:tblPr>
      <w:tblGrid>
        <w:gridCol w:w="1935"/>
        <w:gridCol w:w="1698"/>
        <w:gridCol w:w="1706"/>
        <w:gridCol w:w="215"/>
        <w:gridCol w:w="215"/>
        <w:gridCol w:w="215"/>
        <w:gridCol w:w="201"/>
        <w:gridCol w:w="201"/>
        <w:gridCol w:w="201"/>
        <w:gridCol w:w="260"/>
        <w:gridCol w:w="260"/>
        <w:gridCol w:w="260"/>
        <w:gridCol w:w="109"/>
        <w:gridCol w:w="109"/>
        <w:gridCol w:w="109"/>
        <w:gridCol w:w="215"/>
        <w:gridCol w:w="215"/>
        <w:gridCol w:w="215"/>
        <w:gridCol w:w="176"/>
        <w:gridCol w:w="176"/>
        <w:gridCol w:w="176"/>
        <w:gridCol w:w="241"/>
        <w:gridCol w:w="241"/>
        <w:gridCol w:w="343"/>
      </w:tblGrid>
      <w:tr>
        <w:trPr/>
        <w:tc>
          <w:tcPr>
            <w:tcW w:w="193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from stock-based compensation plans</w:t>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year-over-year increase in shares outstanding in 2026 was primarily due to the issuance of 25.2 million shares in December 2025 as part of the consideration to acquire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weighted-average common stock equivalents presented above do not include the effect of the common stock equivalents in the table below because their inclusion would be anti-dilutive:</w:t>
      </w:r>
    </w:p>
    <w:tbl>
      <w:tblPr>
        <w:tblW w:w="10205" w:type="dxa"/>
        <w:jc w:val="left"/>
        <w:tblInd w:w="0" w:type="dxa"/>
        <w:tblLayout w:type="fixed"/>
        <w:tblCellMar>
          <w:top w:w="28" w:type="dxa"/>
          <w:left w:w="28" w:type="dxa"/>
          <w:bottom w:w="28" w:type="dxa"/>
          <w:right w:w="28" w:type="dxa"/>
        </w:tblCellMar>
      </w:tblPr>
      <w:tblGrid>
        <w:gridCol w:w="2180"/>
        <w:gridCol w:w="1916"/>
        <w:gridCol w:w="1926"/>
        <w:gridCol w:w="213"/>
        <w:gridCol w:w="212"/>
        <w:gridCol w:w="200"/>
        <w:gridCol w:w="186"/>
        <w:gridCol w:w="186"/>
        <w:gridCol w:w="186"/>
        <w:gridCol w:w="251"/>
        <w:gridCol w:w="250"/>
        <w:gridCol w:w="238"/>
        <w:gridCol w:w="109"/>
        <w:gridCol w:w="109"/>
        <w:gridCol w:w="109"/>
        <w:gridCol w:w="215"/>
        <w:gridCol w:w="211"/>
        <w:gridCol w:w="208"/>
        <w:gridCol w:w="165"/>
        <w:gridCol w:w="165"/>
        <w:gridCol w:w="165"/>
        <w:gridCol w:w="239"/>
        <w:gridCol w:w="230"/>
        <w:gridCol w:w="336"/>
      </w:tblGrid>
      <w:tr>
        <w:trPr/>
        <w:tc>
          <w:tcPr>
            <w:tcW w:w="218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 excluded because their inclusion would be anti-dilutive</w:t>
            </w:r>
          </w:p>
        </w:tc>
        <w:tc>
          <w:tcPr>
            <w:tcW w:w="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Corporation measures stock-based compensation expense at grant date, based on the fair value of the award. Forms of awards issued under shareholder-approved plans include stock options, restricted stock units based on a service condition ("restricted stock units"), restricted stock units based on both performance and service conditions ("performance stock units"), and shares issued under member stock purchase plans. Stock-based compensation expense related to stock options, restricted stock units, and performance stock units is recognized over the employees’ requisite service periods, adjusted for an estimated forfeiture rate for those awards not expected to vest. Additionally, expense related to performance stock units is periodically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for the probable number of shares to be awarded based on Corporation achievement within an established target range of cumulative profitability over a multi-year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granted during the periods covered below, and as of July 4, 2026, there was no unrecognized compensation cost related to stock option awards.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summarizes</w:t>
      </w:r>
      <w:r>
        <w:rPr>
          <w:color w:val="FF0000"/>
        </w:rPr>
        <w:t xml:space="preserve"> </w:t>
      </w:r>
      <w:r>
        <w:rPr>
          <w:rFonts w:ascii="Times New Roman;serif" w:hAnsi="Times New Roman;serif"/>
          <w:b w:val="false"/>
          <w:color w:val="000000"/>
          <w:sz w:val="20"/>
        </w:rPr>
        <w:t>expense associated with these plans:</w:t>
      </w:r>
    </w:p>
    <w:tbl>
      <w:tblPr>
        <w:tblW w:w="5892" w:type="dxa"/>
        <w:jc w:val="left"/>
        <w:tblInd w:w="0" w:type="dxa"/>
        <w:tblLayout w:type="fixed"/>
        <w:tblCellMar>
          <w:top w:w="28" w:type="dxa"/>
          <w:left w:w="28" w:type="dxa"/>
          <w:bottom w:w="28" w:type="dxa"/>
          <w:right w:w="28" w:type="dxa"/>
        </w:tblCellMar>
      </w:tblPr>
      <w:tblGrid>
        <w:gridCol w:w="608"/>
        <w:gridCol w:w="535"/>
        <w:gridCol w:w="536"/>
        <w:gridCol w:w="215"/>
        <w:gridCol w:w="414"/>
        <w:gridCol w:w="111"/>
        <w:gridCol w:w="111"/>
        <w:gridCol w:w="111"/>
        <w:gridCol w:w="111"/>
        <w:gridCol w:w="226"/>
        <w:gridCol w:w="436"/>
        <w:gridCol w:w="117"/>
        <w:gridCol w:w="109"/>
        <w:gridCol w:w="109"/>
        <w:gridCol w:w="109"/>
        <w:gridCol w:w="211"/>
        <w:gridCol w:w="511"/>
        <w:gridCol w:w="109"/>
        <w:gridCol w:w="109"/>
        <w:gridCol w:w="109"/>
        <w:gridCol w:w="109"/>
        <w:gridCol w:w="211"/>
        <w:gridCol w:w="51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cost</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stock-based compensation expense in the current year was driven by increased grants including new participants following the acquisition of Steelcase. See "Note 3. Acquisitions and Divestitures" for further information on the acquisition of Steelcase.</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units granted by the Corporation had fair values as follows:</w:t>
      </w:r>
    </w:p>
    <w:tbl>
      <w:tblPr>
        <w:tblW w:w="4036" w:type="dxa"/>
        <w:jc w:val="left"/>
        <w:tblInd w:w="0" w:type="dxa"/>
        <w:tblLayout w:type="fixed"/>
        <w:tblCellMar>
          <w:top w:w="28" w:type="dxa"/>
          <w:left w:w="28" w:type="dxa"/>
          <w:bottom w:w="28" w:type="dxa"/>
          <w:right w:w="28" w:type="dxa"/>
        </w:tblCellMar>
      </w:tblPr>
      <w:tblGrid>
        <w:gridCol w:w="743"/>
        <w:gridCol w:w="653"/>
        <w:gridCol w:w="658"/>
        <w:gridCol w:w="211"/>
        <w:gridCol w:w="511"/>
        <w:gridCol w:w="109"/>
        <w:gridCol w:w="109"/>
        <w:gridCol w:w="109"/>
        <w:gridCol w:w="109"/>
        <w:gridCol w:w="226"/>
        <w:gridCol w:w="434"/>
        <w:gridCol w:w="16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unrecognized compensation expense and the weighted-average remaining service period for non-vested stock units as of July 4, 2026:</w:t>
      </w:r>
    </w:p>
    <w:tbl>
      <w:tblPr>
        <w:tblW w:w="9235" w:type="dxa"/>
        <w:jc w:val="left"/>
        <w:tblInd w:w="0" w:type="dxa"/>
        <w:tblLayout w:type="fixed"/>
        <w:tblCellMar>
          <w:top w:w="28" w:type="dxa"/>
          <w:left w:w="28" w:type="dxa"/>
          <w:bottom w:w="28" w:type="dxa"/>
          <w:right w:w="28" w:type="dxa"/>
        </w:tblCellMar>
      </w:tblPr>
      <w:tblGrid>
        <w:gridCol w:w="1098"/>
        <w:gridCol w:w="963"/>
        <w:gridCol w:w="968"/>
        <w:gridCol w:w="813"/>
        <w:gridCol w:w="1972"/>
        <w:gridCol w:w="425"/>
        <w:gridCol w:w="109"/>
        <w:gridCol w:w="109"/>
        <w:gridCol w:w="109"/>
        <w:gridCol w:w="781"/>
        <w:gridCol w:w="781"/>
        <w:gridCol w:w="1107"/>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Weighted-Average Remaining </w:t>
              <w:br/>
              <w:t>Service Period (years)</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performance stock units</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Guarantees,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utilizes letters of credit and surety bonds in the amount of approximately $57 million to back certain insurance policies and payment obligations. Additionally, the Corporation periodically utilizes trade letters of credit and bankers' acceptances to guarantee certain payments to suppliers; as of July 4, 2026, there was $7 million outstanding related to these types of guarantees. The letters of credit, bonds, and banker’s acceptances reflect fair value as a condition of their underlying purpose and are subject to competitively determined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periodically guarantees borrowing arrangements involving certain workplace furnishings dealers and third-party financial institutions. The remaining terms of outstanding guarantees are less than 4 years in length and generally require the Corporation to make payments directly to the financial institution in the event that the dealer is unable to repay its borrowings in accordance with the stated terms. The aggregate amount guaranteed by the Corporation in connection with these agreements is approximately $7 million as of July 4, 2026. The Corporation has determined the likelihood of making future payments under these guarantees is not probable and the associated liability is immaterial.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contingent liabilities which have arisen in the ordinary course of its business, including liabilities relating to pending litigation, environmental remediation, taxes, insurance, and other claims. It is the Corporation’s opinion, after consultation with legal counsel, that liabilities, if any, resulting from these matters are not expected to have a material adverse effect on the Corporation’s financial condition, cash flows, or quarterly or annual operating results when resolved in a future period.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Tariff Refunds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20,2026, the U.S. Supreme Court ruled that tariffs imposed under the International Emergency Economic Powers Act ("IEEPA") were unlawful. On April 20, 2026, U.S. Customs and Border Protection ("CBP") launched the Consolidated Administration and Processing of Entries ("CAPE") process to permit importers to see refunds of previously paid IEEPA tariffs.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has elected to apply the principles of the loss recovery model in ASC 410-30 to determine whether it may recognize and measure any tariff refunds. Under this model, the Corporation will record the amounts that are probable to recover as a credit to "Cost of Sales" in the Condensed Consolidated Statements of Comprehensive Income. During the quarter ended July 4, 2026 the Corporation recorded net tariff impacts of 150 basis points to operating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Reportable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views the Corporation as two reportable segments based on industries: Workplace Furnishings and Residential Building Products. On December 10, 2025, the Corporation completed its acquisition of Steelcase, which is included in the Workplace Furnishings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Workplace Furnishings segment designs, manufactures, and markets a broad line of commercial office furniture which includes panel-based and freestanding furniture systems, seating, storage, benching, tables, architectural products, social collaborative items, ancillary products, and hospitality products. The Residential Building Products segment manufactures and markets a full array of gas, wood, electric, and pellet-fueled fireplaces, inserts, stoves, facings, outdoor fire pits and fire tables, and accessories.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segment reporting, intercompany sales between segments are immaterial, and operating profit is income before income taxes exclusive of certain unallocated corporate expenses. These unallocated general corporate expenses include the net costs of the Corporation’s corporate operations. Management views interest income and expense as corporate financing costs and not as a reportable segment cost. In addition, management applies an effective income tax rate to its consolidated income before income taxes so income taxes are not reported or viewed internally on a segment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chief operating decision maker ("CODM") is the Chairman, President, and Chief Executive Officer. On a regular basis the CODM receives a reporting package that includes summarized financial results of the Corporation and its underlying operating segments. In evaluating the performance of the segments and making resource allocation decisions across the organization, the CODM is primarily focused on operating income, including analysis of trends, budget-to-actual variances, and performance against historical comparable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identifiable assets by segment information is provided as the CODM regularly reviews information, and primarily manages the Corporation’s assets, on a consolidated basis.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Reportable segment data reconciled to the Corporation’s condensed consolidated financial statements was as follows: </w:t>
      </w:r>
    </w:p>
    <w:tbl>
      <w:tblPr>
        <w:tblW w:w="9900" w:type="dxa"/>
        <w:jc w:val="left"/>
        <w:tblInd w:w="0" w:type="dxa"/>
        <w:tblLayout w:type="fixed"/>
        <w:tblCellMar>
          <w:top w:w="28" w:type="dxa"/>
          <w:left w:w="28" w:type="dxa"/>
          <w:bottom w:w="28" w:type="dxa"/>
          <w:right w:w="28" w:type="dxa"/>
        </w:tblCellMar>
      </w:tblPr>
      <w:tblGrid>
        <w:gridCol w:w="1689"/>
        <w:gridCol w:w="1488"/>
        <w:gridCol w:w="1503"/>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and Administrative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 and Related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Impairment, and Loss on Divestiture: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 (including capitalized software):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Supplier Finance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Corporation’s third-party financial institutions offer supply chain finance ("SCF") programs by which they allow eligible Corporation suppliers the opportunity to sell their trade receivables due from the Corporation. Supplier participation in the SCF programs is voluntary and requires an agreement between the supplier and the financial institution, to which the Corporation is not a party. Any sales of supplier receivables to the financial institutions are at the sole discretion of the supplier and are priced at a rate that leverages the Corporation’s credit rating and thus may be more beneficial to the supplier. The Corporation’s responsibility is limited to making payment on the terms originally negotiated with each supplier.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payments to the financial institutions to settle obligations related to suppliers that elected to participate in the SCF programs are reflected in cash flows from operating activities in the Condensed Consolidated Statements of Cash Flows. Additionally, SCF programs payment obligations due by the Corporation to the financial institutions are recorded in "Accounts payable and accrued expenses" in the Condensed Consolidated Balance Sheets as follows:</w:t>
      </w:r>
    </w:p>
    <w:tbl>
      <w:tblPr>
        <w:tblW w:w="6429" w:type="dxa"/>
        <w:jc w:val="left"/>
        <w:tblInd w:w="0" w:type="dxa"/>
        <w:tblLayout w:type="fixed"/>
        <w:tblCellMar>
          <w:top w:w="28" w:type="dxa"/>
          <w:left w:w="28" w:type="dxa"/>
          <w:bottom w:w="28" w:type="dxa"/>
          <w:right w:w="28" w:type="dxa"/>
        </w:tblCellMar>
      </w:tblPr>
      <w:tblGrid>
        <w:gridCol w:w="1169"/>
        <w:gridCol w:w="1025"/>
        <w:gridCol w:w="1031"/>
        <w:gridCol w:w="109"/>
        <w:gridCol w:w="109"/>
        <w:gridCol w:w="109"/>
        <w:gridCol w:w="282"/>
        <w:gridCol w:w="683"/>
        <w:gridCol w:w="145"/>
        <w:gridCol w:w="109"/>
        <w:gridCol w:w="109"/>
        <w:gridCol w:w="109"/>
        <w:gridCol w:w="347"/>
        <w:gridCol w:w="840"/>
        <w:gridCol w:w="253"/>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finance programs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Restructuring, Impairment, and Loss on Divestiture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impairment activity in the current year primarily relate to the Corporation's network optimization initiatives and structural cost actions, which consists primarily of severance and associated expenses, taken across the business. In Workplace Furnishings these costs are mainly the result of facility closure and consolidation costs related to the Wayland, New York facility, along with the termination of Steelcase’s multi-year ERP implementation project. The facility closure and consolidation costs are comprised of cash and non-cash set-up and move costs recorded to cost of sales, including accelerated depreciation and asset relocation and disposal costs. In Residential Building Products these costs are related to the held for sale status of a small residential building products business. Assets held for sale are included in "Prepaid expenses and other current assets"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Prior-year restructuring activity relates to the loss on divestiture of HNI India, described in "Note 3. Acquisitions and Divestitures," and continued manufacturing optimization initiatives in Workplace Furnishings, including production relocation at the Mexico plant and certain domestic plants. These projects are comprised of cash and non-cash set-up and moving costs recorded to cost of sales, including accelerated depreciation and asset relocation and disposal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8"/>
        <w:gridCol w:w="743"/>
        <w:gridCol w:w="747"/>
        <w:gridCol w:w="109"/>
        <w:gridCol w:w="109"/>
        <w:gridCol w:w="109"/>
        <w:gridCol w:w="952"/>
        <w:gridCol w:w="952"/>
        <w:gridCol w:w="961"/>
        <w:gridCol w:w="109"/>
        <w:gridCol w:w="109"/>
        <w:gridCol w:w="109"/>
        <w:gridCol w:w="211"/>
        <w:gridCol w:w="511"/>
        <w:gridCol w:w="109"/>
        <w:gridCol w:w="109"/>
        <w:gridCol w:w="109"/>
        <w:gridCol w:w="109"/>
        <w:gridCol w:w="219"/>
        <w:gridCol w:w="422"/>
        <w:gridCol w:w="113"/>
        <w:gridCol w:w="109"/>
        <w:gridCol w:w="109"/>
        <w:gridCol w:w="109"/>
        <w:gridCol w:w="211"/>
        <w:gridCol w:w="511"/>
        <w:gridCol w:w="109"/>
        <w:gridCol w:w="109"/>
        <w:gridCol w:w="109"/>
        <w:gridCol w:w="109"/>
        <w:gridCol w:w="211"/>
        <w:gridCol w:w="511"/>
        <w:gridCol w:w="159"/>
      </w:tblGrid>
      <w:tr>
        <w:trPr/>
        <w:tc>
          <w:tcPr>
            <w:tcW w:w="91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 Furnishings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closure and consolidation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HNI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cost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closure and consolidation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cost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cost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of HNI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4, 2026 and January 3, 2026, accrued restructuring expenses of $14.0 million and $13.1 million, respectively, were included in "Accounts payable and accrued expenses" in the Condensed Consolidated Balance Sheets. Cash payments related to these charges in the current year-to-date period were $24.4 million. In the prior year-to-date period, cash payments were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Investments in Unconsolidated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occasionally enters into joint ventures and other equity investments to expand or maintain its geographic presence, support its distribution network, or invest in new business ventures, complementary products and services through dealer relationships and manufacturing joint ventures. The only current manufacturing joint venture is Steelcase Jeraisy Company Limited, which is located in the Kingdom of Saudi Arabia and is engaged in the manufacturing of wood and metal office furniture systems, seating, accessories and related products for the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balances as of January 3, 2026 were acquired as part of the December 10, 2025 acquisition of Steelcase. The valuation of those acquired investments is preliminary and subject to change during the measurement period. See "Note 3. Acquisitions and Divestitures" for further information on the Steelcase acquisition. The current period increase is related to the Corporation entering into various agreements with dealers to drive alignment, further the dealer relationship, and gain commitments for sale of the Corporation's products.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investments in unconsolidated affiliates and related direct ownership interests are recorded in are summarized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63"/>
        <w:gridCol w:w="943"/>
        <w:gridCol w:w="946"/>
        <w:gridCol w:w="109"/>
        <w:gridCol w:w="109"/>
        <w:gridCol w:w="109"/>
        <w:gridCol w:w="376"/>
        <w:gridCol w:w="912"/>
        <w:gridCol w:w="196"/>
        <w:gridCol w:w="109"/>
        <w:gridCol w:w="109"/>
        <w:gridCol w:w="109"/>
        <w:gridCol w:w="314"/>
        <w:gridCol w:w="314"/>
        <w:gridCol w:w="785"/>
        <w:gridCol w:w="109"/>
        <w:gridCol w:w="109"/>
        <w:gridCol w:w="109"/>
        <w:gridCol w:w="376"/>
        <w:gridCol w:w="912"/>
        <w:gridCol w:w="196"/>
        <w:gridCol w:w="109"/>
        <w:gridCol w:w="109"/>
        <w:gridCol w:w="109"/>
        <w:gridCol w:w="297"/>
        <w:gridCol w:w="297"/>
        <w:gridCol w:w="870"/>
      </w:tblGrid>
      <w:tr>
        <w:trPr/>
        <w:tc>
          <w:tcPr>
            <w:tcW w:w="116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05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3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Investment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Investment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Interest</w:t>
            </w:r>
          </w:p>
        </w:tc>
      </w:tr>
      <w:tr>
        <w:trPr/>
        <w:tc>
          <w:tcPr>
            <w:tcW w:w="3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- 40%</w:t>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Less than 10%</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Corporation’s historical results of operations and of its liquidity and capital resources should be read in conjunction with the Unaudited Condensed Consolidated Financial Statements of the Corporation and related notes included elsewhere in this Quarterly Report on Form 10-Q and with the Corporation’s Annual Report on Form 10-K for the fiscal year ended January 3, 2026 filed with the Securities and Exchange Commission (the "2025 Form 10-K"). All dollar amounts presented are in millions, except per share data or where otherwise indicated. Amounts may not sum due to rounding. Statements that are not historical are forward-looking and involve risks and uncertainties. See "Forward-Looking Statements" at the end of this section for further information about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References in this management discussion and analysis to "HNI" and the "Corporation" are to HNI and its consolidated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HNI Corporation has been improving where people live, work, and gather for more than 80 years. HNI is a manufacturer of workplace furnishings and residential building products. The Corporation's two reportable segments consist of Workplace Furnishings and Residential Building Products. Within Workplace Furnishings, the Corporation is the thought leader in commercial furnishings and the preeminent global designer, innovator, and provider of workplace solutions going to market under unique brands serving multiple channels and customers from the largest multinational companies to small local businesses. Within Residential Building Products, the Corporation is the nation's leading manufacturer and marketer of hearth products. The Corporation utilizes a multi-faceted go-to-market model to deliver value to customers via various brands and selling models. HNI is focused on growing its existing businesses while seeking out and developing new opportunities for expansion.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business is subject to seasonal fluctuations, with higher net sales and earnings typically generated in the second half of the year. As a consequence, interim period results may not be indicative of full year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2025, the Corporation completed its acquisition of Steelcase, a global design and furniture manufacturing company, in a cash and stock transaction valued at approximately $1.9 billion. The acquisition of Steelcase unites two industry leaders to meet the dynamic marketplace and evolving needs of the workplace amid accelerating in-office work trends. This combination of two highly respected companies whose strong foundation, combined with expected synergies, will accelerate the Corporation's ability to invest in long-term operational enhancements, digital transformation, products to meet evolving customer needs, and customer-centered buying experiences. Steelcase is included in the Workplace Furnishings segment. See "Note 3. Acquisitions and Divestitures" in the Notes to Condensed Consolidated Financial Statements for more details on the Steelcase acquisition, which affects the comparability of results between the current and prior-year periods.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the Corporation continues its focus on managing costs across all businesses in response to soft volume to begin the year, driven by current geopolitical uncertainty. In Workplace Furnishings, the strategic focus remains margin expansion. The cost management actions taken in the first two quarters within the segment are in addition to previously announced synergies associated with the integration of Steelcase, the realization of which is consistent with expectations. The Corporation also continues to expect additional savings from network optimization in the legacy Workplace Furnishing businesses over the next three years. The Residential Building Products segment remains focused on driving revenue growth over the long term. The business continues to navigate challenging housing market dynamics resulting from interest rate volatility and affordability issues. The combination of the Corporation's disciplined cost management, Steelcase synergies, and legacy network optimization projects continues to strengthen its earnings visibility story.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second quarter of 2026 were $1.5 billion, an increase of 121 percent compared to net sales of $667.1 million in the prior-year quarter, with net sales in the Workplace Furnishings segment increasing 157 percent, and Residential Building Products net sales decreasing 1.6 percent. Consolidated and Workplace Furnishings net sales include a $806.9 million year-over-year increase related to the acquisition of Steelcase in December 2025. See "Note 3. Acquisitions and Divestitures" in the Notes to Condensed Consolidated Financial Statements for further information about the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Corporation in the second quarter of 2026 was $51.1 million compared to $48.2 million in the second quarter of 2025. The current quarter included favorable net tariff impact, higher net sales in the legacy HNI business, and improved net productivity. These factors were offset partially by Steelcase purchase accounting, restructuring and impairment charges, increased interest expense and higher variable compensation.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certain results of operations:</w:t>
      </w:r>
      <w:r>
        <w:rPr>
          <w:color w:val="000000"/>
        </w:rPr>
        <w:t>    </w:t>
      </w:r>
    </w:p>
    <w:tbl>
      <w:tblPr>
        <w:tblW w:w="10205" w:type="dxa"/>
        <w:jc w:val="right"/>
        <w:tblInd w:w="0" w:type="dxa"/>
        <w:tblLayout w:type="fixed"/>
        <w:tblCellMar>
          <w:top w:w="28" w:type="dxa"/>
          <w:left w:w="28" w:type="dxa"/>
          <w:bottom w:w="28" w:type="dxa"/>
          <w:right w:w="28" w:type="dxa"/>
        </w:tblCellMar>
      </w:tblPr>
      <w:tblGrid>
        <w:gridCol w:w="761"/>
        <w:gridCol w:w="430"/>
        <w:gridCol w:w="437"/>
        <w:gridCol w:w="211"/>
        <w:gridCol w:w="766"/>
        <w:gridCol w:w="271"/>
        <w:gridCol w:w="109"/>
        <w:gridCol w:w="109"/>
        <w:gridCol w:w="109"/>
        <w:gridCol w:w="211"/>
        <w:gridCol w:w="616"/>
        <w:gridCol w:w="271"/>
        <w:gridCol w:w="109"/>
        <w:gridCol w:w="109"/>
        <w:gridCol w:w="109"/>
        <w:gridCol w:w="262"/>
        <w:gridCol w:w="264"/>
        <w:gridCol w:w="498"/>
        <w:gridCol w:w="109"/>
        <w:gridCol w:w="109"/>
        <w:gridCol w:w="109"/>
        <w:gridCol w:w="211"/>
        <w:gridCol w:w="766"/>
        <w:gridCol w:w="271"/>
        <w:gridCol w:w="109"/>
        <w:gridCol w:w="109"/>
        <w:gridCol w:w="109"/>
        <w:gridCol w:w="211"/>
        <w:gridCol w:w="766"/>
        <w:gridCol w:w="271"/>
        <w:gridCol w:w="109"/>
        <w:gridCol w:w="109"/>
        <w:gridCol w:w="109"/>
        <w:gridCol w:w="265"/>
        <w:gridCol w:w="265"/>
        <w:gridCol w:w="546"/>
      </w:tblGrid>
      <w:tr>
        <w:trPr/>
        <w:tc>
          <w:tcPr>
            <w:tcW w:w="7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loss on divestiture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HNI Corporation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Sales: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HNI Corporation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sales for the second quarter of 2026 increased 121 percent compared to the same quarter last year. The increase was driven by the acquisition of Steelcase in December of 2025, which increased year-over-year net sales by $806.9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Gross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as a percentage of net sales increased 110 basis points in the second quarter of 2026 compared to the same quarter last year, driven by 240 basis points of tariff refunds along with improved net productivity, which were partially offset by impacts from the acquisition of Steelcase, and restructuring costs related to the Corporation's network optimization projects.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percentage of net sales increased 390 basis points in the second quarter of 2026 compared to the same quarter last year. The increase was driven by impacts from the acquisition of Steelcase, including $21.9 million of purchase accounting related to the amortization of intangibles and higher variable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Acquisition and 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current quarter the Corporation recorded costs of $4.2 million associated with the Steelcase acquisition. Acquisition and related costs consist primarily of retention compensation and other professional service fees. See "Note 3. Acquisitions and Divestitures" in the Notes to the Condensed Consolidated Financial Statements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and Impairment Charges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Corporation recorded charges of $17.9 million, primarily related to structural cost actions and an impairment charge related to a small residential building products business. In the prior-year quarter, $2.5 million of charges were recorded, primarily related to the Corporation's network optimization projects.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operating margin contracted 390 basis points compared to the same quarter last year. This decrease was driven by impacts from the acquisition of Steelcase, including $21.9 million of purchase accounting with respect to intangible amortization related to the preliminary valuation of Steelcase, $23.8 million of restructuring and impairment charges inclusive of restructuring amounts recorded to cost of sales, and higher variable compensation, the effects of which were partially offset by 150 basis points of favorable net tariff impacts and improved net productivity.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for the second quarter of 2026 increased to $23.7 million, from $6.1 million in the same quarter last year. The increase was driven by higher average outstanding borrowings incurred to fund the acquisition of Steelcase. See "Note 7. Debt" in the Notes to Condensed Consolidated Financial Statements for further information about such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income tax expense for the second quarter of 2026 was $20.1 million on income before taxes of $71.2 million, or an effective tax rate of 28.2 percent. For the second quarter of 2025, the Corporation’s income tax expense was $13.8 million on income before taxes of $62.0 million, or an effective tax rate of 22.2 percent. The increase in the effective tax rate was primarily due to the impact of non-deductible executive compensation, unfavorable equity-based compensation adjustments, and the settlement of certain foreign-related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 Attributable to HNI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the Corporation was $51.1 million, or $0.70 per diluted share, in the second quarter of 2026, compared to net income of $48.2 million, or $1.02 per diluted share, in the second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net sales for the first six months of 2026 increased 123 percent compared to the same period last year. The increase was driven by the acquisition of Steelcase in the prior year, which increased year-over-year net sales by $1.6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Gross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as a percentage of net sales decreased 70 basis points in the first six months of 2026 compared to the same period last year, driven by impacts from the acquisition of Steelcase, including $36.4 million of purchase accounting primarily related to inventory step-up, partially offset by tariff refunds in the second quarter of 2026 and improved net productivity.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as a percentage of net sales increased 380 basis points in the first six months of 2026 compared to the same period last year. The increase was driven by impacts from the acquisition of Steelcase, including $49.7 million of purchase accounting primarily related to amortization of intangibles, higher variable compensation, lower net sales in the legacy HNI business, and increased input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Acquisition and 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current year period, the Corporation recorded costs of $7.8 million associated with the Steelcase acquisition. Acquisition and related costs consist primarily of retention compensation, other professional service fees, and change in control compensation expense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Impairment, and Loss on Divestiture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the Corporation recorded charges of $35.9 million primarily related to the termination of Steelcase's multi-year ERP implementation project, structural cost actions, the Corporation's network optimization project, and an impairment charge related to a small residential building projects business. In the prior-year period, charges of $8.9 million were incurred, primarily in connection with a Workplace Furnishings factory optimization initiative.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operating margin contracted 530 basis points compared to the same quarter last year. This decrease was driven by impacts from the acquisition of Steelcase, including $86.1 million of purchase accounting with respect to inventory step-up and intangible amortization related to the preliminary valuation of Steelcase, $44.3 million of restructuring and impairment charges inclusive of restructuring amounts recorded to cost of sales, and lower net sales in the legacy HNI business, the effects of which were partially offset by net impact of tariffs and improved net productivity.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for the first six months of 2026 was $44.4 million, compared to $11.7 million for the same period last year. The increase was driven by higher average outstanding borrowings incurred to fund the acquisition of Steelcase.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Corporation’s income tax expense for the first six months of 2026 was $3.2 million on income before taxes of $15.5 million, or an effective tax rate of 20.9 percent. For the first six months of 2025, the Corporation’s income tax expense was $18.8 million on income before taxes of $80.9 million, or an effective tax rate of 23.2 percent. The decrease in the effective tax rate was primarily due to favorable equity-based compensation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Income Attributable to HNI Corporation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the Corporation was $12.3 million, or $0.17 per diluted share, in the first six months of 2026, compared to net income of $62.2 million, or $1.31 per diluted share, in the first six months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Workplace Furnishings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table presents certain results of operations in the Workplace Furnishings segment:</w:t>
      </w:r>
      <w:r>
        <w:rPr>
          <w:color w:val="000000"/>
        </w:rPr>
        <w:t>    </w:t>
      </w:r>
    </w:p>
    <w:tbl>
      <w:tblPr>
        <w:tblW w:w="10205" w:type="dxa"/>
        <w:jc w:val="left"/>
        <w:tblInd w:w="0" w:type="dxa"/>
        <w:tblLayout w:type="fixed"/>
        <w:tblCellMar>
          <w:top w:w="28" w:type="dxa"/>
          <w:left w:w="28" w:type="dxa"/>
          <w:bottom w:w="28" w:type="dxa"/>
          <w:right w:w="28" w:type="dxa"/>
        </w:tblCellMar>
      </w:tblPr>
      <w:tblGrid>
        <w:gridCol w:w="626"/>
        <w:gridCol w:w="547"/>
        <w:gridCol w:w="555"/>
        <w:gridCol w:w="211"/>
        <w:gridCol w:w="766"/>
        <w:gridCol w:w="271"/>
        <w:gridCol w:w="109"/>
        <w:gridCol w:w="109"/>
        <w:gridCol w:w="109"/>
        <w:gridCol w:w="211"/>
        <w:gridCol w:w="616"/>
        <w:gridCol w:w="271"/>
        <w:gridCol w:w="109"/>
        <w:gridCol w:w="109"/>
        <w:gridCol w:w="109"/>
        <w:gridCol w:w="262"/>
        <w:gridCol w:w="264"/>
        <w:gridCol w:w="498"/>
        <w:gridCol w:w="109"/>
        <w:gridCol w:w="109"/>
        <w:gridCol w:w="109"/>
        <w:gridCol w:w="211"/>
        <w:gridCol w:w="766"/>
        <w:gridCol w:w="271"/>
        <w:gridCol w:w="109"/>
        <w:gridCol w:w="109"/>
        <w:gridCol w:w="109"/>
        <w:gridCol w:w="211"/>
        <w:gridCol w:w="616"/>
        <w:gridCol w:w="271"/>
        <w:gridCol w:w="109"/>
        <w:gridCol w:w="109"/>
        <w:gridCol w:w="109"/>
        <w:gridCol w:w="291"/>
        <w:gridCol w:w="291"/>
        <w:gridCol w:w="544"/>
      </w:tblGrid>
      <w:tr>
        <w:trPr/>
        <w:tc>
          <w:tcPr>
            <w:tcW w:w="62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Second quarter 2026 net sales for the Workplace Furnishings segment increased 157 percent compared to the same quarter last year. The increase was driven by the acquisition of Steelcase in December of 2025, which increased net sales by $806.9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as a percentage of net sales in the second quarter of 2026 decreased 510 basis points compared to the same period in 2025. The decrease was driven by impacts from the acquisition of Steelcase, including $21.9 million of purchase accounting with respect to intangible amortization related to the preliminary valuation of Steelcase, $16.6 million of restructuring and impairment costs, and $1.9 million of acquisition and related costs, as well as lower net sales in the legacy HNI business, partially offset by 170 basis points of favorable net tariff impacts and improved net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first six months of 2026 for the Workplace Furnishings segment increased 162 percent compared to the same period last year. The increase was driven by the acquisition of Steelcase in December of 2025, which increased net sales by $1.6 billion.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as a percentage of net sales in the first six months of 2026 decreased 640 basis points compared to the same period in 2025. The decrease was driven by impacts from the acquisition of Steelcase, including $86.1 million of purchase accounting with respect to inventory step-up and intangible amortization related to the preliminary valuation of Steelcase, $37.0 million of restructuring and impairment costs, and $8.5 million of acquisition and related costs, as well as lower net sales in the legacy HNI business, partially offset by net tariff impacts and improved net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 Building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results of operations in the Residential Building Products segment:</w:t>
      </w:r>
    </w:p>
    <w:tbl>
      <w:tblPr>
        <w:tblW w:w="9798" w:type="dxa"/>
        <w:jc w:val="left"/>
        <w:tblInd w:w="0" w:type="dxa"/>
        <w:tblLayout w:type="fixed"/>
        <w:tblCellMar>
          <w:top w:w="28" w:type="dxa"/>
          <w:left w:w="28" w:type="dxa"/>
          <w:bottom w:w="28" w:type="dxa"/>
          <w:right w:w="28" w:type="dxa"/>
        </w:tblCellMar>
      </w:tblPr>
      <w:tblGrid>
        <w:gridCol w:w="646"/>
        <w:gridCol w:w="565"/>
        <w:gridCol w:w="573"/>
        <w:gridCol w:w="211"/>
        <w:gridCol w:w="616"/>
        <w:gridCol w:w="271"/>
        <w:gridCol w:w="109"/>
        <w:gridCol w:w="109"/>
        <w:gridCol w:w="109"/>
        <w:gridCol w:w="211"/>
        <w:gridCol w:w="616"/>
        <w:gridCol w:w="271"/>
        <w:gridCol w:w="109"/>
        <w:gridCol w:w="109"/>
        <w:gridCol w:w="109"/>
        <w:gridCol w:w="239"/>
        <w:gridCol w:w="241"/>
        <w:gridCol w:w="498"/>
        <w:gridCol w:w="109"/>
        <w:gridCol w:w="109"/>
        <w:gridCol w:w="109"/>
        <w:gridCol w:w="211"/>
        <w:gridCol w:w="616"/>
        <w:gridCol w:w="271"/>
        <w:gridCol w:w="109"/>
        <w:gridCol w:w="109"/>
        <w:gridCol w:w="109"/>
        <w:gridCol w:w="211"/>
        <w:gridCol w:w="616"/>
        <w:gridCol w:w="271"/>
        <w:gridCol w:w="109"/>
        <w:gridCol w:w="109"/>
        <w:gridCol w:w="109"/>
        <w:gridCol w:w="233"/>
        <w:gridCol w:w="233"/>
        <w:gridCol w:w="543"/>
      </w:tblGrid>
      <w:tr>
        <w:trPr/>
        <w:tc>
          <w:tcPr>
            <w:tcW w:w="6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Second quarter 2026 net sales for the Residential Building Products segment decreased 1.6 percent compared to the same quarter last year, with decreased net sales in the new home market partially offset by increased remodel-retrofit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as a percentage of net sales was unchanged in the second quarter of 2026 from the same quarter last year, with an increase from 420 basis points of favorable net tariff impacts, improved net productivity, and lower core SG&amp;A offset by an impairment charge and lower net sales volume.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July 4, 2026 and June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the first six months of 2026 for the Residential Building Products segment increased 0.3 percent compared to the same period last year, as increased net sales in remodel-retrofit were mostly offset by decreased net sales in the new home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as a percentage of net sales in the first six months of 2026 increased 100 basis points compared to the same period last year driven by improved net productivity and net tariff impacts, partially offset by lower net sales volume.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short-term investments, coupled with cash flow from future operations, borrowing capacity expected to be available under the Corporation's existing revolving credit facility, and the Corporation's ability to access capital markets, are expected to be adequate to fund the Corporation's operations and satisfy its other cash requirements for at least the next twelve months. The Corporation can access the full $425 million of borrowing capacity available under its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facility, which includes the $103 million of borrowings outstanding as of July 4, 2026, and maintain compliance with specified 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cash flows were a use of $32.0 million of cash for the first six months of 2026 compared to a source of $43.7 million of cash for the first six months of 2025. Higher working capital usage, driven by the settlement of certain acquisition related expense accruals were the primary driver of the difference versus the year-ago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Capital Expenditures</w:t>
      </w:r>
      <w:r>
        <w:rPr>
          <w:color w:val="000000"/>
        </w:rPr>
        <w:t xml:space="preserve"> </w:t>
      </w:r>
      <w:r>
        <w:rPr>
          <w:rFonts w:ascii="Times New Roman;serif" w:hAnsi="Times New Roman;serif"/>
          <w:b w:val="false"/>
          <w:color w:val="000000"/>
          <w:sz w:val="20"/>
        </w:rPr>
        <w:t>- Capital expenditures, including capitalized software, for the first six months of 2026 were $64.7 million compared to $31.2 million for the same period last year. The current-period capital expenditures are primarily applied to machinery, equipment, and tooling required to support continuing operations, continuous improvements, and cost savings initiatives in the manufacturing processes. Additionally, in support of the Corporation's long-term strategy to create effortless winning experiences for customers, the Corporation continues to invest in technology and digital capabilities. For the full year 2026, capital expenditures are expected to be approximately $130 to $140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 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Debt</w:t>
      </w:r>
      <w:r>
        <w:rPr>
          <w:color w:val="000000"/>
        </w:rPr>
        <w:t xml:space="preserve"> </w:t>
      </w:r>
      <w:r>
        <w:rPr>
          <w:rFonts w:ascii="Times New Roman;serif" w:hAnsi="Times New Roman;serif"/>
          <w:b w:val="false"/>
          <w:color w:val="000000"/>
          <w:sz w:val="20"/>
        </w:rPr>
        <w:t>- As discussed in "Note 7. Debt" in the Notes to Condensed Consolidated Financial Statements, the Corporation maintains a revolving credit facility as the primary source of committed funding from which the Corporation finances its seasonal working capital needs and provides additional financial capacity for capital expenditures, repurchases of common stock, and strategic initiatives, such as acquisitions. Cash flows included in financing activities for the current and prior periods presented include periodic borrowings and repayments under the revolving credit facility as part of normal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also has borrowings outstanding under (i) a senior secured TLA Facility, (ii) a senior secured TLB Facility, and (iii) Public Notes. During the second quarter of 2026, the Corporation refinanced borrowings under the TLB Facility, achieving a reduction of the borrowing rate on the TLB Facility. Cash flows included in financing activities in the current period include the refinancing of the borrowings under the TLB Facility and related debt issuance costs along with the scheduled principal amortization payments under the TLA and TLB Facilities.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Dividends</w:t>
      </w:r>
      <w:r>
        <w:rPr>
          <w:color w:val="000000"/>
        </w:rPr>
        <w:t xml:space="preserve"> </w:t>
      </w:r>
      <w:r>
        <w:rPr>
          <w:rFonts w:ascii="Times New Roman;serif" w:hAnsi="Times New Roman;serif"/>
          <w:b w:val="false"/>
          <w:color w:val="000000"/>
          <w:sz w:val="20"/>
        </w:rPr>
        <w:t>- The Corporation is committed to maintaining or modestly increasing the quarterly dividend rate. Cash dividends declared and paid per common share were as follows:</w:t>
      </w:r>
    </w:p>
    <w:tbl>
      <w:tblPr>
        <w:tblW w:w="6824" w:type="dxa"/>
        <w:jc w:val="left"/>
        <w:tblInd w:w="0" w:type="dxa"/>
        <w:tblLayout w:type="fixed"/>
        <w:tblCellMar>
          <w:top w:w="28" w:type="dxa"/>
          <w:left w:w="28" w:type="dxa"/>
          <w:bottom w:w="28" w:type="dxa"/>
          <w:right w:w="28" w:type="dxa"/>
        </w:tblCellMar>
      </w:tblPr>
      <w:tblGrid>
        <w:gridCol w:w="896"/>
        <w:gridCol w:w="788"/>
        <w:gridCol w:w="79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Board of Directors declared the regular quarterly cash dividend at the rate of $0.35 per share on May 18, 2026. This represents a $0.01 per share or 2.9 percent increase from the prior quarterly dividend level. The dividend was paid on June 10, 2026, to shareholders of record as of May 29,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Stock Repurchase</w:t>
      </w:r>
      <w:r>
        <w:rPr>
          <w:color w:val="000000"/>
        </w:rPr>
        <w:t xml:space="preserve"> </w:t>
      </w:r>
      <w:r>
        <w:rPr>
          <w:rFonts w:ascii="Times New Roman;serif" w:hAnsi="Times New Roman;serif"/>
          <w:b w:val="false"/>
          <w:color w:val="000000"/>
          <w:sz w:val="20"/>
        </w:rPr>
        <w:t>- The Corporation’s capital strategy related to stock repurchase is focused on offsetting the dilutive impact of issuances of common stock pursuant to equity awards granted for various compensation-related matters. The Corporation also may elect to opportunistically purchase additional shares based on excess cash generation and/or share price considerations. During the six months ended July 4, 2026, the Corporation did not repurchase any of its outstanding common stock. As of July 4, 2026, $84.3 million was available under the current authorization of the Board of Directors for repurchase of shares by the Corporation. See "Note 10. Accumulated Other Comprehensive Income (Loss) and Shareholders’ Equity" in the Notes to Condensed Consolidated Financial Statements for further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Sales of Stock</w:t>
      </w:r>
      <w:r>
        <w:rPr>
          <w:color w:val="000000"/>
        </w:rPr>
        <w:t xml:space="preserve"> </w:t>
      </w:r>
      <w:r>
        <w:rPr>
          <w:rFonts w:ascii="Times New Roman;serif" w:hAnsi="Times New Roman;serif"/>
          <w:b w:val="false"/>
          <w:color w:val="000000"/>
          <w:sz w:val="20"/>
        </w:rPr>
        <w:t>- The Corporation records cash flows received from the sale of its common stock held in treasury, primarily in connection with stock option exercises and the HNI Corporation Members’ Stock Purchase Plan. See "Note 10. Accumulated Other Comprehensive Income (Loss) and Shareholders’ Equity" and "Note 12. Stock-Based Compensation" in the Notes to Condensed Consolidated Financial Statements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commitments and obligations associated with ongoing business and financing activities will result in cash payments in future periods. A summary of the amounts and estimated timing of these future cash payments is presented in the 2025 Form 10-K. There were no material changes outside the ordinary course of business in the Corporation’s contractual obligations or the estimated timing of the future cash payments during the first six months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 Guarantees, Commitments, and Contingencies" in the Notes to Condensed Consolidated Financial Statements for further information about the Corporation's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is based upon the Condensed Consolidated Financial Statements, prepared in accordance with generally accepted accounting principles ("GAAP"). The preparation of these financial statements requires management to make estimates and assumptions that affect the reported amounts of assets, liabilities, revenue, and expenses, and related disclosure of contingent assets and liabilities. Management bases its estimates on historical experience and on a variety of other assumptions that are believed to be reasonable under the circumstances, the results of which form the basis for making judgments about the carrying values of assets and liabilities that are not readily apparent from other sources. Senior management has discussed the development, selection, and disclosure of these estimates with the Audit Committee of the Board of Directors. Actual results may differ from these estimates under different assumptions or conditions. A summary of the more significant accounting policies requiring the use of estimates and assumptions in preparing the financial statements is provided in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November 2024, the Financial Accounting Standards Board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aims to improve the disclosures about a public business entity’s expenses by requiring more detailed information about the types of costs and expenses, including purchases of inventory, employee compensation, selling expenses, depreciation, and intangible asset amortization within commonly presented captions on the face of the income statement. Disclosures are required to be made on an annual and interim basis in a tabular format in the footnotes to the financial statements. The ASU becomes effective for the Corporation for its fiscal year ending December 2027, and for interim periods beginning with the first fiscal quarter of 2028, and may be applied either prospectively or retrospectively. Early adoption is permitted. The Corporation expects additional detailed disclosures to be made for several cost and expense categories following adoption of the ASU, but is still evaluating the full impact of this guidance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modernizes internal-use software guidance, eliminating accounting consideration for software development stages, requiring cost capitalization when management has authorized and is committed to funding the project and it is probable the project will be completed and the software used for its intended function. The ASU becomes effective beginning with the first fiscal quarter of 2028, and may be applied either prospectively or retrospectively. Early adoption is permitted. The Corporation is currently evaluating the impact of adopting this guidance to the Consolidated Financial Statements, and expects that adoption could impact the capitalization patterns of its internal use software.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Looking Ahead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continues to navigate near-term uncertainty driven by macroeconomic conditions. However, management remains optimistic about the long-term prospects in the workplace furnishings and residential building products markets. Management believes the Corporation continues to compete well and remains confident that the investments made in the business will continue to generate strong returns for shareholders.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in this report to the extent they are not statements of historical or present fact, including statements as to plans, outlook, objectives, and future financial performance, are "forward-looking" statements, within the meaning of Section 21E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and Section 27A of the Securities Act of 1933. Words such as "anticipate," "believe," "could," "confident," "estimate," "expect," "forecast," "hope," "intend," "likely," "may," "plan," "possible," "potential," "predict," "project," "should," "will," "would," and variations of such words and similar expressions identify forward-looking statements. Forward-looking statements in this report about the transaction between the Corporation and Steelcase (the "Transaction") include, but are not limited to, statements about the completion and the benefits of the Transaction, including future financial and operating results, the combined company's plans, objectives, expectations and intentions, and other statements that are not historical facts.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involve known and unknown risks and uncertainties, which may cause the Corporation's actual results in the future to differ materially from expected results. The most significant factors known to the Corporation that may adversely affect the Corporation's business, operations, industries, financial position, or future financial performance are described within Part II, Item 1A of this report and Item 1A of the 2025 Form 10-K. The Corporation cautions readers not to place undue reliance on any forward-looking statement, which is based necessarily on assumptions made at the time the Corporation provides such statement,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factors related to the Steelcase acquisition, among others, could cause actual results to differ materially from those expressed in or implied by forward-looking statements: the risk that the synergies and other benefits of the Steelcase acquisition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HNI and Steelcase operate; any failure to promptly and effectively integrate the businesses of HNI and Steelcase; and potential adverse reactions to the transaction of HNI’s or Steelcase’s customers, employees or other business partners.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important factors relating to the Corporation that could cause actual results to differ materially from those in forward-looking statements include, but are not limited to, disruptions in the global supply chain; the effects of prolonged periods of inflation and rising interest rates; labor shortages; the levels of office furniture needs and housing starts; overall demand for the Corporation's products; general economic and market conditions in the United States and internationally; industry and competitive conditions; the consolidation and concentration of the Corporation's customers; the Corporation's reliance on its network of independent dealers; changes in trade policy, including with respect to tariff levels; changes in raw material, component, or commodity pricing; market acceptance and demand for the Corporation's new products; changing legal, regulatory, environmental, and health care conditions; the risks associated with international operations; the potential impact of product defects; the various restrictions on the Corporation's financing activities; an inability to protect the Corporation's intellectual property; cybersecurity threats, including those posed by potential ransomware attacks; impacts of tax legislation; force majeure events outside the Corporation's control, including those that may result from the effects of climate change; and other risks and uncertainties as described in the 2025 Form 10-K and in the Corporation's subsequent quarterly and current reports filed on Forms 10-Q and 8-K with the Securities and Exchange Commission, as well as other risks and uncertainties the Corporation may consider not material or are not known at this time. The risks and uncertainties described in this report, as well as those described within Item 1A of the 2025 Form 10-K, are not exclusive and further information concerning the Corporation, including risks and uncertainties that potentially could have a material effect on the Corporation's financial results or condition, may emerge from time to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assumes no obligation to update, amend, or clarify forward-looking statements, whether as a result of new information, future events, or otherwise, except as required by applicable law. The Corporation advises you, however, to consult any further disclosures made on related subjects in future reports it files with or furnishes to the Securities and Exchange Commission.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4, 2026, there have been no material changes to the financial market risks affecting the quantitative and qualitative disclosures presented in Item 7A of the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designed to ensure that information required to be disclosed by the Corporation in the reports it files or submits under the Securities Exchange Act of 1934 (the "Exchange Act") is recorded, processed, summarized,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reported within the time periods specified in the Securities and Exchange Commission’s rules and forms. Disclosure controls and procedures are also designed to ensure information is accumulated and communicated to management, including the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Chief Executive Officer and Chief Financial Officer of the Corporation, the Corporation’s management carried out an evaluation of the Corporation’s disclosure controls and procedures pursuant to Exchange Act Rules 13a – 15 and 15d – 15. As of July 4, 2026, based on this evaluation, the Chief Executive Officer and Chief Financial Officer have concluded that the Corporation's disclosure controls and procedures are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Corporation’s internal control over financial reporting during the fiscal quarter covered by this quarterly report on Form 10-Q that have materially affected, or are reasonably likely to materially affect, its internal control over financial reporting, except with respect to the internal controls over financial reporting of Steelcase, which was acquired in December 2025, (see "Note 3. Acquisitions and Divestitures" in the Notes to the Condensed Consolidated Financial Statements). In conducting its evaluation of the effectiveness of internal control over financial reporting, the Corporation has elected to exclude Steelcase Inc. from its evaluation as of July 4, 2026, as permitted by the regulations of the Securities and Exchange Commission.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"Note 13. Guarantees, Commitments, and Contingencies" in the Notes to Condensed Consolidated Financial Statements, which information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in this report, consideration should be given to the risks discussed in the "Risk Factors" section of the 2025 Form 10-K, which could materially affect the Corporation's business, financial condition, and results of operations. Additional risks and uncertainties not currently known or that are currently deemed immaterial by management also may adversely affect the Corporation's business,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Corporation repurchases shares under previously announced plans authorized by the Board of Directors. The Corporation’s most recent share purchase authorization from May 17, 2022 authorized repurchase of $200 million of shares in addition to the previously available amount, with no specific expiration date. As of July 4, 2026, $84.3 million was authorized and available for the repurchase of shares by the Corporation. The authorization does not obligate the Corporation to purchase any shares and the authorization may be terminated, increased, or decreased by the Board of Directors at any time. The Corporation did not repurchase any of its shares during the second quarter of 2026.</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Trading Arrangements of Directors and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4, 2026, none of the Corporation's directors or officers (as defined in Rule 16a-1(f) under the Exchange Act) adopted or terminated a "Rule 10b5-1 trading arrangement" or "non-Rule 10b5-1 trading arrangement," as each term is defined in Item 408(a) of Regulation S-K.</w:t>
      </w:r>
    </w:p>
    <w:p>
      <w:pPr>
        <w:pStyle w:val="TextBody"/>
        <w:bidi w:val="0"/>
        <w:spacing w:before="0" w:after="0"/>
        <w:jc w:val="both"/>
        <w:rPr/>
      </w:pPr>
      <w:r>
        <w:rPr/>
      </w:r>
    </w:p>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 Exhibits</w:t>
      </w:r>
    </w:p>
    <w:tbl>
      <w:tblPr>
        <w:tblW w:w="10205" w:type="dxa"/>
        <w:jc w:val="center"/>
        <w:tblInd w:w="0" w:type="dxa"/>
        <w:tblLayout w:type="fixed"/>
        <w:tblCellMar>
          <w:top w:w="28" w:type="dxa"/>
          <w:left w:w="28" w:type="dxa"/>
          <w:bottom w:w="28" w:type="dxa"/>
          <w:right w:w="28" w:type="dxa"/>
        </w:tblCellMar>
      </w:tblPr>
      <w:tblGrid>
        <w:gridCol w:w="237"/>
        <w:gridCol w:w="190"/>
        <w:gridCol w:w="192"/>
        <w:gridCol w:w="2895"/>
        <w:gridCol w:w="2770"/>
        <w:gridCol w:w="3921"/>
      </w:tblGrid>
      <w:tr>
        <w:trPr/>
        <w:tc>
          <w:tcPr>
            <w:tcW w:w="2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619" w:type="dxa"/>
            <w:gridSpan w:val="3"/>
            <w:tcBorders/>
            <w:vAlign w:val="center"/>
          </w:tcPr>
          <w:p>
            <w:pPr>
              <w:pStyle w:val="TableContents"/>
              <w:bidi w:val="0"/>
              <w:spacing w:before="0" w:after="283"/>
              <w:jc w:val="left"/>
              <w:rPr>
                <w:sz w:val="4"/>
                <w:szCs w:val="4"/>
              </w:rPr>
            </w:pPr>
            <w:r>
              <w:rPr>
                <w:sz w:val="4"/>
                <w:szCs w:val="4"/>
              </w:rPr>
            </w:r>
          </w:p>
        </w:tc>
        <w:tc>
          <w:tcPr>
            <w:tcW w:w="9586" w:type="dxa"/>
            <w:gridSpan w:val="3"/>
            <w:tcBorders/>
            <w:vAlign w:val="center"/>
          </w:tcPr>
          <w:p>
            <w:pPr>
              <w:pStyle w:val="TableContents"/>
              <w:bidi w:val="0"/>
              <w:spacing w:before="0" w:after="283"/>
              <w:jc w:val="left"/>
              <w:rPr>
                <w:sz w:val="4"/>
                <w:szCs w:val="4"/>
              </w:rPr>
            </w:pPr>
            <w:r>
              <w:rPr>
                <w:sz w:val="4"/>
                <w:szCs w:val="4"/>
              </w:rPr>
            </w:r>
          </w:p>
        </w:tc>
      </w:tr>
      <w:tr>
        <w:trPr/>
        <w:tc>
          <w:tcPr>
            <w:tcW w:w="619" w:type="dxa"/>
            <w:gridSpan w:val="3"/>
            <w:tcBorders/>
            <w:vAlign w:val="center"/>
          </w:tcPr>
          <w:p>
            <w:pPr>
              <w:pStyle w:val="TableContents"/>
              <w:bidi w:val="0"/>
              <w:spacing w:before="0" w:after="283"/>
              <w:jc w:val="left"/>
              <w:rPr>
                <w:sz w:val="4"/>
                <w:szCs w:val="4"/>
              </w:rPr>
            </w:pPr>
            <w:r>
              <w:rPr>
                <w:sz w:val="4"/>
                <w:szCs w:val="4"/>
              </w:rPr>
            </w:r>
          </w:p>
        </w:tc>
        <w:tc>
          <w:tcPr>
            <w:tcW w:w="9586" w:type="dxa"/>
            <w:gridSpan w:val="3"/>
            <w:tcBorders/>
            <w:vAlign w:val="center"/>
          </w:tcPr>
          <w:p>
            <w:pPr>
              <w:pStyle w:val="TableContents"/>
              <w:bidi w:val="0"/>
              <w:spacing w:before="0" w:after="283"/>
              <w:jc w:val="left"/>
              <w:rPr>
                <w:sz w:val="4"/>
                <w:szCs w:val="4"/>
              </w:rPr>
            </w:pPr>
            <w:r>
              <w:rPr>
                <w:sz w:val="4"/>
                <w:szCs w:val="4"/>
              </w:rPr>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Amendment No. 3 to Credit Agreement by and among HNI Corporation, the other Credit Parties party thereto, the 2026 Refinancing Term Lenders party thereto, and Wells Fargo Bank, National Association, effective as of June 10, 2026 (incorporated by reference to Exhibit 10.1 to the Registrant's Current Report on Form 8-K filed June 10, 2026)</w:t>
              </w:r>
            </w:hyperlink>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22026.htm">
              <w:r>
                <w:rPr>
                  <w:rStyle w:val="InternetLink"/>
                  <w:rFonts w:ascii="Times New Roman;serif" w:hAnsi="Times New Roman;serif"/>
                  <w:b w:val="false"/>
                  <w:color w:val="0000FF"/>
                  <w:sz w:val="20"/>
                  <w:u w:val="single"/>
                </w:rPr>
                <w:t>Certification of Chief Executive Officer, pursuant to Rule 13a-14(a) or Rule 15d-14(a) under the Securities Exchange Act of 1934, as adopted pursuant to Section 302 of the Sarbanes-Oxley Act of 2002+</w:t>
              </w:r>
            </w:hyperlink>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22026.htm">
              <w:r>
                <w:rPr>
                  <w:rStyle w:val="InternetLink"/>
                  <w:rFonts w:ascii="Times New Roman;serif" w:hAnsi="Times New Roman;serif"/>
                  <w:b w:val="false"/>
                  <w:color w:val="0000FF"/>
                  <w:sz w:val="20"/>
                  <w:u w:val="single"/>
                </w:rPr>
                <w:t>Certification of Chief Financial Officer, pursuant to Rule 13a-14(a) or Rule 15d-14(a) under the Securities Exchange Act of 1934, as adopted pursuant to Section 302 of the Sarbanes-Oxley Act of 2002+</w:t>
              </w:r>
            </w:hyperlink>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22026.htm">
              <w:r>
                <w:rPr>
                  <w:rStyle w:val="InternetLink"/>
                  <w:rFonts w:ascii="Times New Roman;serif" w:hAnsi="Times New Roman;serif"/>
                  <w:b w:val="false"/>
                  <w:color w:val="0000FF"/>
                  <w:sz w:val="20"/>
                  <w:u w:val="single"/>
                </w:rPr>
                <w:t>Certification of Chief Executive Officer and Chief Financial Officer, pursuant to Rule 13a-14(b) or Rule 15d-14(b) under the Securities Exchange Act of 1934 and 18 U.S.C. Section 1350, as adopted pursuant to Section 906 of the Sarbanes-Oxley Act of 2002++</w:t>
              </w:r>
            </w:hyperlink>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Filed with this report.</w:t>
      </w:r>
    </w:p>
    <w:p>
      <w:pPr>
        <w:pStyle w:val="TextBody"/>
        <w:bidi w:val="0"/>
        <w:spacing w:lineRule="auto" w:line="288" w:before="0" w:after="0"/>
        <w:jc w:val="both"/>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Furnished with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96" w:type="dxa"/>
        <w:jc w:val="left"/>
        <w:tblInd w:w="0" w:type="dxa"/>
        <w:tblLayout w:type="fixed"/>
        <w:tblCellMar>
          <w:top w:w="28" w:type="dxa"/>
          <w:left w:w="28" w:type="dxa"/>
          <w:bottom w:w="28" w:type="dxa"/>
          <w:right w:w="28" w:type="dxa"/>
        </w:tblCellMar>
      </w:tblPr>
      <w:tblGrid>
        <w:gridCol w:w="667"/>
        <w:gridCol w:w="587"/>
        <w:gridCol w:w="590"/>
        <w:gridCol w:w="262"/>
        <w:gridCol w:w="262"/>
        <w:gridCol w:w="262"/>
        <w:gridCol w:w="1463"/>
        <w:gridCol w:w="1463"/>
        <w:gridCol w:w="1468"/>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HNI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Vincent P. Berger</w:t>
            </w:r>
          </w:p>
        </w:tc>
        <w:tc>
          <w:tcPr>
            <w:tcW w:w="372"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Section 302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D. Lorenger,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HNI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701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394"/>
        <w:gridCol w:w="1394"/>
        <w:gridCol w:w="198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D. Lorenger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Jeffrey D. Lorenger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Section 302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Vincent P. Berger,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HNI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731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481"/>
        <w:gridCol w:w="1481"/>
        <w:gridCol w:w="21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Vincent P. Berger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CEO and CFO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HNI Corporation (the "Corporation") for the quarterly period ended July 4, 2026, as filed with the Securities and Exchange Commission on the date hereof (the "Report"), Jeffrey D. Lorenger, as Chairman, President, and Chief Executive Officer of the Corporation, and Vincent P. Berger, Executive Vice President and Chief Financial Officer of the Corporation, each hereby certifies, pursuant to 18 U.S.C. Section 1350, as adopted pursuant to Section 906 of the Sarbanes-Oxley Act of 2002,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Corporation as of the dates and for the periods expressed in the Report.</w:t>
      </w:r>
    </w:p>
    <w:p>
      <w:pPr>
        <w:pStyle w:val="TextBody"/>
        <w:bidi w:val="0"/>
        <w:spacing w:before="0" w:after="0"/>
        <w:jc w:val="both"/>
        <w:rPr/>
      </w:pPr>
      <w:r>
        <w:rPr/>
      </w:r>
    </w:p>
    <w:tbl>
      <w:tblPr>
        <w:tblW w:w="6972"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380"/>
        <w:gridCol w:w="1380"/>
        <w:gridCol w:w="196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D. Lorenger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Jeffrey D. Lorenger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Chairman, 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362"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494"/>
        <w:gridCol w:w="1494"/>
        <w:gridCol w:w="21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Vincent P. Berger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Vincent P. Berger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Corporation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8287/000095010326008782/dp248223_ex10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18000</Words>
  <Characters>100915</Characters>
  <CharactersWithSpaces>117487</CharactersWithSpaces>
  <Paragraphs>2930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