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69967.xml.htm"/>
      <w:bookmarkStart w:id="1" w:name="kswkform4_17895699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Tasi Irene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EAST SECOND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MUSCATINE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52761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HNI CORP</w:t>
              </w:r>
            </w:hyperlink>
            <w:r>
              <w:rPr/>
              <w:t xml:space="preserve"> [ </w:t>
            </w:r>
            <w:r>
              <w:rPr>
                <w:rFonts w:ascii="Times;serif" w:hAnsi="Times;serif"/>
                <w:color w:val="0000FF"/>
                <w:sz w:val="24"/>
                <w:shd w:fill="FFFFFF" w:val="clear"/>
              </w:rPr>
              <w:t>HNI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Steelcase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12,409</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12,409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Common Stock of Issuer underlying restricted stock units ("RSUs") granted under the HNI Corporation Incentive Compensation Plan for Legacy Steelcase Employees, each representing a contingent right to receive one share of Common Stock, as follows: (a) 5,985 RSUs granted on September 14, 2026, which vest in three equal annual installments commencing on February 20, 2027; and (b) 6,424 RSUs granted on September 14, 2026, which vest in two equal annual installments commencing on September 14, 2027, subject in each case to the reporting person's continued service on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M. Bradford as attorney-in-fact for Irene Tasi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3737" TargetMode="External"/><Relationship Id="rId5" Type="http://schemas.openxmlformats.org/officeDocument/2006/relationships/hyperlink" Target="http://www.sec.gov/cgi-bin/browse-edgar?action=getcompany&amp;CIK=00000482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3603</Characters>
  <CharactersWithSpaces>4196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