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b/>
          <w:color w:val="000000"/>
          <w:sz w:val="20"/>
          <w:shd w:fill="FFFFFF" w:val="clear"/>
        </w:rPr>
        <w:t>Date of Report (Date of earliest event reported):</w:t>
      </w:r>
      <w:r>
        <w:rPr>
          <w:rFonts w:ascii="Times New Roman" w:hAnsi="Times New Roman"/>
          <w:color w:val="000000"/>
          <w:sz w:val="20"/>
          <w:shd w:fill="FFFFFF" w:val="clear"/>
        </w:rPr>
        <w:t xml:space="preserve">  </w:t>
      </w:r>
      <w:r>
        <w:rPr>
          <w:rFonts w:ascii="Times New Roman" w:hAnsi="Times New Roman"/>
          <w:b/>
          <w:color w:val="000000"/>
          <w:sz w:val="20"/>
          <w:shd w:fill="FFFFFF" w:val="clear"/>
        </w:rPr>
        <w:t>August 17,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48"/>
          <w:shd w:fill="FFFFFF" w:val="clear"/>
        </w:rPr>
      </w:pPr>
      <w:r>
        <w:rPr>
          <w:rFonts w:ascii="Times New Roman" w:hAnsi="Times New Roman"/>
          <w:color w:val="000000"/>
          <w:sz w:val="48"/>
          <w:shd w:fill="FFFFFF" w:val="clear"/>
        </w:rPr>
        <w:t>HNI Corporation</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its charter)</w:t>
      </w:r>
    </w:p>
    <w:tbl>
      <w:tblPr>
        <w:tblW w:w="8550" w:type="dxa"/>
        <w:jc w:val="left"/>
        <w:tblInd w:w="0" w:type="dxa"/>
        <w:tblLayout w:type="fixed"/>
        <w:tblCellMar>
          <w:top w:w="0" w:type="dxa"/>
          <w:left w:w="0" w:type="dxa"/>
          <w:bottom w:w="28" w:type="dxa"/>
          <w:right w:w="0" w:type="dxa"/>
        </w:tblCellMar>
      </w:tblPr>
      <w:tblGrid>
        <w:gridCol w:w="3575"/>
        <w:gridCol w:w="2210"/>
        <w:gridCol w:w="2765"/>
      </w:tblGrid>
      <w:tr>
        <w:trPr/>
        <w:tc>
          <w:tcPr>
            <w:tcW w:w="35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Iowa</w:t>
            </w:r>
          </w:p>
        </w:tc>
        <w:tc>
          <w:tcPr>
            <w:tcW w:w="22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1-14225</w:t>
            </w:r>
          </w:p>
        </w:tc>
        <w:tc>
          <w:tcPr>
            <w:tcW w:w="276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42-0617510</w:t>
            </w:r>
          </w:p>
        </w:tc>
      </w:tr>
      <w:tr>
        <w:trPr/>
        <w:tc>
          <w:tcPr>
            <w:tcW w:w="35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(State or other jurisdiction of incorporation)</w:t>
            </w:r>
          </w:p>
        </w:tc>
        <w:tc>
          <w:tcPr>
            <w:tcW w:w="221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276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spacing w:before="0" w:after="0"/>
        <w:jc w:val="left"/>
        <w:rPr>
          <w:sz w:val="20"/>
        </w:rPr>
      </w:pPr>
      <w:r>
        <w:rPr>
          <w:sz w:val="20"/>
        </w:rPr>
      </w:r>
    </w:p>
    <w:tbl>
      <w:tblPr>
        <w:tblW w:w="4285" w:type="dxa"/>
        <w:jc w:val="left"/>
        <w:tblInd w:w="0" w:type="dxa"/>
        <w:tblLayout w:type="fixed"/>
        <w:tblCellMar>
          <w:top w:w="0" w:type="dxa"/>
          <w:left w:w="0" w:type="dxa"/>
          <w:bottom w:w="28" w:type="dxa"/>
          <w:right w:w="0" w:type="dxa"/>
        </w:tblCellMar>
      </w:tblPr>
      <w:tblGrid>
        <w:gridCol w:w="3200"/>
        <w:gridCol w:w="60"/>
        <w:gridCol w:w="1025"/>
      </w:tblGrid>
      <w:tr>
        <w:trPr/>
        <w:tc>
          <w:tcPr>
            <w:tcW w:w="320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600 East Second Street</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P. O. Box 1109</w:t>
            </w:r>
          </w:p>
          <w:p>
            <w:pPr>
              <w:pStyle w:val="TableContents"/>
              <w:bidi w:val="0"/>
              <w:spacing w:before="0" w:after="0"/>
              <w:jc w:val="center"/>
              <w:rPr>
                <w:rFonts w:ascii="Times New Roman" w:hAnsi="Times New Roman"/>
                <w:b/>
                <w:sz w:val="20"/>
              </w:rPr>
            </w:pPr>
            <w:r>
              <w:rPr>
                <w:rFonts w:ascii="Times New Roman" w:hAnsi="Times New Roman"/>
                <w:b/>
                <w:sz w:val="20"/>
              </w:rPr>
              <w:t>Muscatine, Iowa</w:t>
            </w:r>
          </w:p>
        </w:tc>
        <w:tc>
          <w:tcPr>
            <w:tcW w:w="60" w:type="dxa"/>
            <w:tcBorders>
              <w:bottom w:val="single" w:sz="12" w:space="0" w:color="000000"/>
            </w:tcBorders>
            <w:vAlign w:val="center"/>
          </w:tcPr>
          <w:p>
            <w:pPr>
              <w:pStyle w:val="TableContents"/>
              <w:bidi w:val="0"/>
              <w:spacing w:before="0" w:after="283"/>
              <w:jc w:val="left"/>
              <w:rPr/>
            </w:pPr>
            <w:r>
              <w:rPr/>
              <w:t> </w:t>
            </w:r>
          </w:p>
        </w:tc>
        <w:tc>
          <w:tcPr>
            <w:tcW w:w="1025" w:type="dxa"/>
            <w:tcBorders>
              <w:bottom w:val="single" w:sz="12" w:space="0" w:color="000000"/>
            </w:tcBorders>
            <w:vAlign w:val="center"/>
          </w:tcPr>
          <w:p>
            <w:pPr>
              <w:pStyle w:val="TableContents"/>
              <w:bidi w:val="0"/>
              <w:spacing w:before="0" w:after="283"/>
              <w:jc w:val="center"/>
              <w:rPr>
                <w:sz w:val="20"/>
              </w:rPr>
            </w:pPr>
            <w:r>
              <w:rPr>
                <w:sz w:val="20"/>
              </w:rPr>
              <w:t>52761-0071</w:t>
            </w:r>
          </w:p>
        </w:tc>
      </w:tr>
      <w:tr>
        <w:trPr/>
        <w:tc>
          <w:tcPr>
            <w:tcW w:w="3200" w:type="dxa"/>
            <w:tcBorders>
              <w:top w:val="single" w:sz="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top w:val="single" w:sz="2" w:space="0" w:color="000000"/>
            </w:tcBorders>
            <w:tcMar>
              <w:top w:w="28" w:type="dxa"/>
              <w:bottom w:w="0" w:type="dxa"/>
            </w:tcMar>
            <w:vAlign w:val="center"/>
          </w:tcPr>
          <w:p>
            <w:pPr>
              <w:pStyle w:val="TableContents"/>
              <w:bidi w:val="0"/>
              <w:spacing w:before="0" w:after="283"/>
              <w:jc w:val="left"/>
              <w:rPr/>
            </w:pPr>
            <w:r>
              <w:rPr/>
            </w:r>
          </w:p>
        </w:tc>
        <w:tc>
          <w:tcPr>
            <w:tcW w:w="1025" w:type="dxa"/>
            <w:tcBorders>
              <w:top w:val="single" w:sz="2" w:space="0" w:color="000000"/>
            </w:tcBorders>
            <w:tcMar>
              <w:top w:w="28" w:type="dxa"/>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 (563) 272-7400</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see</w:t>
      </w:r>
      <w:r>
        <w:rPr>
          <w:rFonts w:ascii="Times New Roman" w:hAnsi="Times New Roman"/>
          <w:color w:val="000000"/>
          <w:sz w:val="20"/>
          <w:shd w:fill="FFFFFF" w:val="clear"/>
        </w:rPr>
        <w:t xml:space="preserve"> General Instruction A.2.):</w:t>
      </w:r>
    </w:p>
    <w:tbl>
      <w:tblPr>
        <w:tblW w:w="7555" w:type="dxa"/>
        <w:jc w:val="left"/>
        <w:tblInd w:w="0" w:type="dxa"/>
        <w:tblLayout w:type="fixed"/>
        <w:tblCellMar>
          <w:top w:w="0" w:type="dxa"/>
          <w:left w:w="0" w:type="dxa"/>
          <w:bottom w:w="0" w:type="dxa"/>
          <w:right w:w="0" w:type="dxa"/>
        </w:tblCellMar>
      </w:tblPr>
      <w:tblGrid>
        <w:gridCol w:w="245"/>
        <w:gridCol w:w="7310"/>
      </w:tblGrid>
      <w:tr>
        <w:trPr/>
        <w:tc>
          <w:tcPr>
            <w:tcW w:w="245" w:type="dxa"/>
            <w:tcBorders/>
            <w:vAlign w:val="center"/>
          </w:tcPr>
          <w:p>
            <w:pPr>
              <w:pStyle w:val="TableContents"/>
              <w:bidi w:val="0"/>
              <w:spacing w:before="0" w:after="283"/>
              <w:jc w:val="left"/>
              <w:rPr>
                <w:color w:val="000000"/>
              </w:rPr>
            </w:pPr>
            <w:r>
              <w:rPr>
                <w:color w:val="000000"/>
              </w:rPr>
              <w:t>☐</w:t>
            </w:r>
          </w:p>
        </w:tc>
        <w:tc>
          <w:tcPr>
            <w:tcW w:w="7310" w:type="dxa"/>
            <w:tcBorders/>
            <w:vAlign w:val="center"/>
          </w:tcPr>
          <w:p>
            <w:pPr>
              <w:pStyle w:val="TableContents"/>
              <w:bidi w:val="0"/>
              <w:spacing w:before="0" w:after="0"/>
              <w:jc w:val="both"/>
              <w:rPr>
                <w:rFonts w:ascii="Times New Roman" w:hAnsi="Times New Roman"/>
                <w:sz w:val="24"/>
              </w:rPr>
            </w:pPr>
            <w:r>
              <w:rPr>
                <w:rFonts w:ascii="Times New Roman" w:hAnsi="Times New Roman"/>
                <w:color w:val="000000"/>
                <w:sz w:val="20"/>
              </w:rPr>
              <w:t>Written communications pursuant to Rule 425 under the Securities Act</w:t>
            </w:r>
            <w:r>
              <w:rPr>
                <w:rFonts w:ascii="Times New Roman" w:hAnsi="Times New Roman"/>
                <w:sz w:val="24"/>
              </w:rPr>
              <w:t> </w:t>
            </w:r>
            <w:r>
              <w:rPr>
                <w:rFonts w:ascii="Times New Roman" w:hAnsi="Times New Roman"/>
                <w:color w:val="000000"/>
                <w:sz w:val="20"/>
              </w:rPr>
              <w:t>(17 CFR 230.425)</w:t>
            </w:r>
          </w:p>
        </w:tc>
      </w:tr>
    </w:tbl>
    <w:p>
      <w:pPr>
        <w:pStyle w:val="TextBody"/>
        <w:bidi w:val="0"/>
        <w:spacing w:before="0" w:after="0"/>
        <w:jc w:val="left"/>
        <w:rPr/>
      </w:pPr>
      <w:r>
        <w:rPr/>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color w:val="000000"/>
              </w:rPr>
            </w:pPr>
            <w:r>
              <w:rPr>
                <w:color w:val="000000"/>
              </w:rPr>
              <w:t>☐</w:t>
            </w:r>
          </w:p>
        </w:tc>
        <w:tc>
          <w:tcPr>
            <w:tcW w:w="7340" w:type="dxa"/>
            <w:tcBorders/>
            <w:vAlign w:val="center"/>
          </w:tcPr>
          <w:p>
            <w:pPr>
              <w:pStyle w:val="TableContents"/>
              <w:bidi w:val="0"/>
              <w:spacing w:before="0" w:after="0"/>
              <w:jc w:val="both"/>
              <w:rPr>
                <w:rFonts w:ascii="Times New Roman" w:hAnsi="Times New Roman"/>
                <w:sz w:val="24"/>
              </w:rPr>
            </w:pPr>
            <w:r>
              <w:rPr>
                <w:rFonts w:ascii="Times New Roman" w:hAnsi="Times New Roman"/>
                <w:color w:val="000000"/>
                <w:sz w:val="20"/>
              </w:rPr>
              <w:t>Soliciting material pursuant to Rule 14a-12 under the Exchange Act</w:t>
            </w:r>
            <w:r>
              <w:rPr>
                <w:rFonts w:ascii="Times New Roman" w:hAnsi="Times New Roman"/>
                <w:sz w:val="24"/>
              </w:rPr>
              <w:t> </w:t>
            </w:r>
            <w:r>
              <w:rPr>
                <w:rFonts w:ascii="Times New Roman" w:hAnsi="Times New Roman"/>
                <w:color w:val="000000"/>
                <w:sz w:val="20"/>
              </w:rPr>
              <w:t>(17 CFR 240.14a-12)</w:t>
            </w:r>
          </w:p>
        </w:tc>
      </w:tr>
    </w:tbl>
    <w:p>
      <w:pPr>
        <w:pStyle w:val="TextBody"/>
        <w:bidi w:val="0"/>
        <w:spacing w:before="0" w:after="0"/>
        <w:jc w:val="left"/>
        <w:rPr/>
      </w:pPr>
      <w:r>
        <w:rPr/>
      </w:r>
    </w:p>
    <w:tbl>
      <w:tblPr>
        <w:tblW w:w="9325" w:type="dxa"/>
        <w:jc w:val="left"/>
        <w:tblInd w:w="0" w:type="dxa"/>
        <w:tblLayout w:type="fixed"/>
        <w:tblCellMar>
          <w:top w:w="0" w:type="dxa"/>
          <w:left w:w="0" w:type="dxa"/>
          <w:bottom w:w="0" w:type="dxa"/>
          <w:right w:w="0" w:type="dxa"/>
        </w:tblCellMar>
      </w:tblPr>
      <w:tblGrid>
        <w:gridCol w:w="245"/>
        <w:gridCol w:w="9080"/>
      </w:tblGrid>
      <w:tr>
        <w:trPr/>
        <w:tc>
          <w:tcPr>
            <w:tcW w:w="245" w:type="dxa"/>
            <w:tcBorders/>
            <w:vAlign w:val="center"/>
          </w:tcPr>
          <w:p>
            <w:pPr>
              <w:pStyle w:val="TableContents"/>
              <w:bidi w:val="0"/>
              <w:spacing w:before="0" w:after="283"/>
              <w:jc w:val="left"/>
              <w:rPr>
                <w:color w:val="000000"/>
              </w:rPr>
            </w:pPr>
            <w:r>
              <w:rPr>
                <w:color w:val="000000"/>
              </w:rPr>
              <w:t>☐</w:t>
            </w:r>
          </w:p>
        </w:tc>
        <w:tc>
          <w:tcPr>
            <w:tcW w:w="9080" w:type="dxa"/>
            <w:tcBorders/>
            <w:vAlign w:val="center"/>
          </w:tcPr>
          <w:p>
            <w:pPr>
              <w:pStyle w:val="TableContents"/>
              <w:bidi w:val="0"/>
              <w:spacing w:before="0" w:after="0"/>
              <w:jc w:val="both"/>
              <w:rPr>
                <w:rFonts w:ascii="Times New Roman" w:hAnsi="Times New Roman"/>
                <w:sz w:val="24"/>
              </w:rPr>
            </w:pPr>
            <w:r>
              <w:rPr>
                <w:rFonts w:ascii="Times New Roman" w:hAnsi="Times New Roman"/>
                <w:color w:val="000000"/>
                <w:sz w:val="20"/>
              </w:rPr>
              <w:t>Pre-commencement communications pursuant to Rule 14d-2(b) under the Exchange Act</w:t>
            </w:r>
            <w:r>
              <w:rPr>
                <w:rFonts w:ascii="Times New Roman" w:hAnsi="Times New Roman"/>
                <w:sz w:val="24"/>
              </w:rPr>
              <w:t> </w:t>
            </w:r>
            <w:r>
              <w:rPr>
                <w:rFonts w:ascii="Times New Roman" w:hAnsi="Times New Roman"/>
                <w:color w:val="000000"/>
                <w:sz w:val="20"/>
              </w:rPr>
              <w:t>(17 CFR 240.14d-2(b))</w:t>
            </w:r>
          </w:p>
        </w:tc>
      </w:tr>
    </w:tbl>
    <w:p>
      <w:pPr>
        <w:pStyle w:val="TextBody"/>
        <w:bidi w:val="0"/>
        <w:spacing w:before="0" w:after="0"/>
        <w:jc w:val="left"/>
        <w:rPr/>
      </w:pPr>
      <w:r>
        <w:rPr/>
      </w:r>
    </w:p>
    <w:tbl>
      <w:tblPr>
        <w:tblW w:w="9265" w:type="dxa"/>
        <w:jc w:val="left"/>
        <w:tblInd w:w="0" w:type="dxa"/>
        <w:tblLayout w:type="fixed"/>
        <w:tblCellMar>
          <w:top w:w="0" w:type="dxa"/>
          <w:left w:w="0" w:type="dxa"/>
          <w:bottom w:w="0" w:type="dxa"/>
          <w:right w:w="0" w:type="dxa"/>
        </w:tblCellMar>
      </w:tblPr>
      <w:tblGrid>
        <w:gridCol w:w="245"/>
        <w:gridCol w:w="9020"/>
      </w:tblGrid>
      <w:tr>
        <w:trPr/>
        <w:tc>
          <w:tcPr>
            <w:tcW w:w="245" w:type="dxa"/>
            <w:tcBorders/>
            <w:vAlign w:val="center"/>
          </w:tcPr>
          <w:p>
            <w:pPr>
              <w:pStyle w:val="TableContents"/>
              <w:bidi w:val="0"/>
              <w:spacing w:before="0" w:after="283"/>
              <w:jc w:val="left"/>
              <w:rPr>
                <w:color w:val="000000"/>
              </w:rPr>
            </w:pPr>
            <w:r>
              <w:rPr>
                <w:color w:val="000000"/>
              </w:rPr>
              <w:t>☐</w:t>
            </w:r>
          </w:p>
        </w:tc>
        <w:tc>
          <w:tcPr>
            <w:tcW w:w="9020" w:type="dxa"/>
            <w:tcBorders/>
            <w:vAlign w:val="center"/>
          </w:tcPr>
          <w:p>
            <w:pPr>
              <w:pStyle w:val="TableContents"/>
              <w:bidi w:val="0"/>
              <w:spacing w:before="0" w:after="0"/>
              <w:jc w:val="both"/>
              <w:rPr>
                <w:rFonts w:ascii="Times New Roman" w:hAnsi="Times New Roman"/>
                <w:sz w:val="24"/>
              </w:rPr>
            </w:pPr>
            <w:r>
              <w:rPr>
                <w:rFonts w:ascii="Times New Roman" w:hAnsi="Times New Roman"/>
                <w:color w:val="000000"/>
                <w:sz w:val="20"/>
              </w:rPr>
              <w:t>Pre-commencement communications pursuant to Rule 13e-4(c) under the Exchange Act</w:t>
            </w:r>
            <w:r>
              <w:rPr>
                <w:rFonts w:ascii="Times New Roman" w:hAnsi="Times New Roman"/>
                <w:sz w:val="24"/>
              </w:rPr>
              <w:t> </w:t>
            </w:r>
            <w:r>
              <w:rPr>
                <w:rFonts w:ascii="Times New Roman" w:hAnsi="Times New Roman"/>
                <w:color w:val="000000"/>
                <w:sz w:val="20"/>
              </w:rPr>
              <w:t>(17 CFR 240.13e-4(c))</w:t>
            </w:r>
          </w:p>
        </w:tc>
      </w:tr>
    </w:tbl>
    <w:p>
      <w:pPr>
        <w:pStyle w:val="HorizontalLine"/>
        <w:pBdr>
          <w:bottom w:val="double" w:sz="2" w:space="0" w:color="808080"/>
        </w:pBdr>
        <w:bidi w:val="0"/>
        <w:spacing w:before="0" w:after="283"/>
        <w:jc w:val="left"/>
        <w:rPr/>
      </w:pPr>
      <w:r>
        <w:rPr/>
      </w:r>
    </w:p>
    <w:tbl>
      <w:tblPr>
        <w:tblW w:w="4685" w:type="dxa"/>
        <w:jc w:val="left"/>
        <w:tblInd w:w="0" w:type="dxa"/>
        <w:tblLayout w:type="fixed"/>
        <w:tblCellMar>
          <w:top w:w="0" w:type="dxa"/>
          <w:left w:w="0" w:type="dxa"/>
          <w:bottom w:w="0" w:type="dxa"/>
          <w:right w:w="0" w:type="dxa"/>
        </w:tblCellMar>
      </w:tblPr>
      <w:tblGrid>
        <w:gridCol w:w="4685"/>
      </w:tblGrid>
      <w:tr>
        <w:trPr/>
        <w:tc>
          <w:tcPr>
            <w:tcW w:w="468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bl>
    <w:tbl>
      <w:tblPr>
        <w:tblW w:w="5790" w:type="dxa"/>
        <w:jc w:val="left"/>
        <w:tblInd w:w="-15" w:type="dxa"/>
        <w:tblLayout w:type="fixed"/>
        <w:tblCellMar>
          <w:top w:w="28" w:type="dxa"/>
          <w:left w:w="28" w:type="dxa"/>
          <w:bottom w:w="28" w:type="dxa"/>
          <w:right w:w="0" w:type="dxa"/>
        </w:tblCellMar>
      </w:tblPr>
      <w:tblGrid>
        <w:gridCol w:w="1475"/>
        <w:gridCol w:w="1535"/>
        <w:gridCol w:w="2780"/>
      </w:tblGrid>
      <w:tr>
        <w:trPr/>
        <w:tc>
          <w:tcPr>
            <w:tcW w:w="147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1535" w:type="dxa"/>
            <w:tcBorders>
              <w:top w:val="single" w:sz="12" w:space="0" w:color="000000"/>
              <w:left w:val="single" w:sz="12" w:space="0" w:color="000000"/>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Symbol(s)</w:t>
            </w:r>
          </w:p>
        </w:tc>
        <w:tc>
          <w:tcPr>
            <w:tcW w:w="2780" w:type="dxa"/>
            <w:tcBorders>
              <w:top w:val="single" w:sz="12" w:space="0" w:color="000000"/>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 xml:space="preserve">Name of each exchange on which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registered</w:t>
            </w:r>
          </w:p>
        </w:tc>
      </w:tr>
      <w:tr>
        <w:trPr/>
        <w:tc>
          <w:tcPr>
            <w:tcW w:w="147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w:t>
            </w:r>
          </w:p>
        </w:tc>
        <w:tc>
          <w:tcPr>
            <w:tcW w:w="1535" w:type="dxa"/>
            <w:tcBorders>
              <w:left w:val="single" w:sz="12" w:space="0" w:color="000000"/>
              <w:bottom w:val="single" w:sz="12" w:space="0" w:color="000000"/>
            </w:tcBorders>
            <w:tcMar>
              <w:top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HNI</w:t>
            </w:r>
          </w:p>
        </w:tc>
        <w:tc>
          <w:tcPr>
            <w:tcW w:w="2780" w:type="dxa"/>
            <w:tcBorders>
              <w:left w:val="single" w:sz="12" w:space="0" w:color="000000"/>
              <w:bottom w:val="single" w:sz="12" w:space="0" w:color="000000"/>
              <w:right w:val="single" w:sz="12" w:space="0" w:color="000000"/>
            </w:tcBorders>
            <w:tcMar>
              <w:top w:w="0" w:type="dxa"/>
              <w:right w:w="28"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Stock Exchange</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9182"/>
        <w:gridCol w:w="1023"/>
      </w:tblGrid>
      <w:tr>
        <w:trPr/>
        <w:tc>
          <w:tcPr>
            <w:tcW w:w="10205" w:type="dxa"/>
            <w:gridSpan w:val="2"/>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of this chapter) or Rule 12b-2 of the Securities Exchange Act of 1934 (17 CFR §240.12b-2).</w:t>
            </w:r>
          </w:p>
        </w:tc>
      </w:tr>
      <w:tr>
        <w:trPr/>
        <w:tc>
          <w:tcPr>
            <w:tcW w:w="918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c>
          <w:tcPr>
            <w:tcW w:w="1023"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left"/>
        <w:rPr/>
      </w:pPr>
      <w:r>
        <w:rPr/>
      </w:r>
    </w:p>
    <w:p>
      <w:pPr>
        <w:pStyle w:val="HorizontalLine"/>
        <w:bidi w:val="0"/>
        <w:jc w:val="left"/>
        <w:rPr/>
      </w:pPr>
      <w:r>
        <w:rPr/>
      </w:r>
    </w:p>
    <w:p>
      <w:pPr>
        <w:pStyle w:val="HorizontalLine"/>
        <w:bidi w:val="0"/>
        <w:spacing w:before="200" w:after="200"/>
        <w:jc w:val="left"/>
        <w:rPr/>
      </w:pPr>
      <w:r>
        <w:rPr/>
      </w:r>
    </w:p>
    <w:p>
      <w:pPr>
        <w:pStyle w:val="Normal"/>
        <w:bidi w:val="0"/>
        <w:spacing w:before="0" w:after="0"/>
        <w:jc w:val="left"/>
        <w:rPr>
          <w:sz w:val="4"/>
          <w:szCs w:val="4"/>
        </w:rPr>
      </w:pPr>
      <w:r>
        <w:rPr>
          <w:sz w:val="4"/>
          <w:szCs w:val="4"/>
        </w:rPr>
      </w:r>
      <w:bookmarkStart w:id="0" w:name="Section2"/>
      <w:bookmarkStart w:id="1" w:name="Section2"/>
      <w:bookmarkEnd w:id="1"/>
    </w:p>
    <w:tbl>
      <w:tblPr>
        <w:tblW w:w="1975" w:type="dxa"/>
        <w:jc w:val="left"/>
        <w:tblInd w:w="0" w:type="dxa"/>
        <w:tblLayout w:type="fixed"/>
        <w:tblCellMar>
          <w:top w:w="0" w:type="dxa"/>
          <w:left w:w="0" w:type="dxa"/>
          <w:bottom w:w="0" w:type="dxa"/>
          <w:right w:w="0" w:type="dxa"/>
        </w:tblCellMar>
      </w:tblPr>
      <w:tblGrid>
        <w:gridCol w:w="830"/>
        <w:gridCol w:w="1145"/>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sz w:val="20"/>
        </w:rPr>
      </w:pPr>
      <w:r>
        <w:rPr>
          <w:sz w:val="20"/>
        </w:rPr>
      </w:r>
    </w:p>
    <w:p>
      <w:pPr>
        <w:pStyle w:val="TextBody"/>
        <w:bidi w:val="0"/>
        <w:spacing w:before="0" w:after="0"/>
        <w:ind w:left="0" w:right="0" w:firstLine="720"/>
        <w:jc w:val="left"/>
        <w:rPr>
          <w:rFonts w:ascii="Times New Roman" w:hAnsi="Times New Roman"/>
          <w:color w:val="000000"/>
          <w:sz w:val="20"/>
          <w:shd w:fill="FFFFFF" w:val="clear"/>
        </w:rPr>
      </w:pPr>
      <w:bookmarkStart w:id="2" w:name="Section3"/>
      <w:bookmarkEnd w:id="2"/>
      <w:r>
        <w:rPr>
          <w:rFonts w:ascii="Times New Roman" w:hAnsi="Times New Roman"/>
          <w:color w:val="000000"/>
          <w:sz w:val="20"/>
          <w:shd w:fill="FFFFFF" w:val="clear"/>
        </w:rPr>
        <w:t>The Board of Directors (the “Board”) of HNI Corporation (the “Corporation”) has approved the additional expenditure of up to $200 million to repurchase the Corporation’s outstanding shares of Common Stock from time to time under the Corporation’s existing share repurchase program (the “Program”).  As of August 17, 2026, the Corporation had $84.3 million remaining authorization under the Program, bringing the total authorization to $284.3 million following approval of the increase.  The Program does not have an expiration date and does not obligate the Corporation to repurchase any shares.  The authorization for the Program may be terminated, increased, or decreased by the Board at any time.</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6515" w:type="dxa"/>
        <w:jc w:val="left"/>
        <w:tblInd w:w="0" w:type="dxa"/>
        <w:tblLayout w:type="fixed"/>
        <w:tblCellMar>
          <w:top w:w="0" w:type="dxa"/>
          <w:left w:w="0" w:type="dxa"/>
          <w:bottom w:w="0" w:type="dxa"/>
          <w:right w:w="0" w:type="dxa"/>
        </w:tblCellMar>
      </w:tblPr>
      <w:tblGrid>
        <w:gridCol w:w="455"/>
        <w:gridCol w:w="1370"/>
        <w:gridCol w:w="60"/>
        <w:gridCol w:w="320"/>
        <w:gridCol w:w="4310"/>
      </w:tblGrid>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30"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HNI CORPORATION</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August 20,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31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Vincent P. Berger</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Vincent P. Berger</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454</Words>
  <Characters>2501</Characters>
  <CharactersWithSpaces>2925</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